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_Ref494746248"/>
      <w:r>
        <w:rPr>
          <w:rFonts w:cs="Arial"/>
          <w:bCs/>
          <w:sz w:val="22"/>
          <w:szCs w:val="22"/>
          <w:lang w:eastAsia="zh-CN"/>
        </w:rPr>
        <w:t>3GPP TSG RAN WG1 #10</w:t>
      </w:r>
      <w:r>
        <w:rPr>
          <w:rFonts w:hint="eastAsia" w:cs="Arial"/>
          <w:bCs/>
          <w:sz w:val="22"/>
          <w:szCs w:val="22"/>
          <w:lang w:val="en-US" w:eastAsia="zh-CN"/>
        </w:rPr>
        <w:t>6-e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</w:t>
      </w:r>
      <w:r>
        <w:rPr>
          <w:rFonts w:hint="eastAsia" w:cs="Arial"/>
          <w:bCs/>
          <w:sz w:val="22"/>
          <w:szCs w:val="22"/>
          <w:lang w:eastAsia="zh-CN"/>
        </w:rPr>
        <w:t xml:space="preserve"> R1-2</w:t>
      </w:r>
      <w:r>
        <w:rPr>
          <w:rFonts w:hint="eastAsia" w:cs="Arial"/>
          <w:bCs/>
          <w:sz w:val="22"/>
          <w:szCs w:val="22"/>
          <w:lang w:val="en-US" w:eastAsia="zh-CN"/>
        </w:rPr>
        <w:t>106742</w:t>
      </w:r>
    </w:p>
    <w:p>
      <w:pPr>
        <w:pStyle w:val="38"/>
        <w:tabs>
          <w:tab w:val="right" w:pos="8280"/>
          <w:tab w:val="right" w:pos="9781"/>
        </w:tabs>
        <w:snapToGrid w:val="0"/>
        <w:spacing w:after="360" w:afterLines="100" w:line="240" w:lineRule="auto"/>
        <w:ind w:right="-57"/>
      </w:pPr>
      <w:r>
        <w:rPr>
          <w:rFonts w:eastAsia="Times New Roman" w:cs="Arial"/>
          <w:bCs/>
          <w:sz w:val="22"/>
          <w:szCs w:val="22"/>
          <w:highlight w:val="none"/>
          <w:lang w:eastAsia="ja-JP"/>
        </w:rPr>
        <w:t xml:space="preserve">e-Meeting, </w:t>
      </w:r>
      <w:r>
        <w:rPr>
          <w:rFonts w:hint="eastAsia" w:cs="Arial"/>
          <w:bCs/>
          <w:sz w:val="22"/>
          <w:szCs w:val="22"/>
          <w:highlight w:val="none"/>
          <w:lang w:val="en-US" w:eastAsia="zh-CN"/>
        </w:rPr>
        <w:t xml:space="preserve">Aug </w:t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1</w:t>
      </w:r>
      <w:r>
        <w:rPr>
          <w:rFonts w:hint="eastAsia" w:cs="Arial"/>
          <w:bCs/>
          <w:sz w:val="22"/>
          <w:szCs w:val="22"/>
          <w:highlight w:val="none"/>
          <w:lang w:val="en-US" w:eastAsia="zh-CN"/>
        </w:rPr>
        <w:t>6</w:t>
      </w:r>
      <w:r>
        <w:rPr>
          <w:rFonts w:eastAsia="Times New Roman" w:cs="Arial"/>
          <w:bCs/>
          <w:sz w:val="22"/>
          <w:szCs w:val="22"/>
          <w:highlight w:val="none"/>
          <w:vertAlign w:val="superscript"/>
          <w:lang w:eastAsia="ja-JP"/>
        </w:rPr>
        <w:t>th</w:t>
      </w:r>
      <w:r>
        <w:rPr>
          <w:rFonts w:eastAsia="Times New Roman" w:cs="Arial"/>
          <w:bCs/>
          <w:sz w:val="22"/>
          <w:szCs w:val="22"/>
          <w:highlight w:val="none"/>
          <w:lang w:eastAsia="ja-JP"/>
        </w:rPr>
        <w:t xml:space="preserve"> – </w:t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Aug</w:t>
      </w:r>
      <w:r>
        <w:rPr>
          <w:rFonts w:eastAsia="Times New Roman" w:cs="Arial"/>
          <w:bCs/>
          <w:sz w:val="22"/>
          <w:szCs w:val="22"/>
          <w:highlight w:val="none"/>
          <w:lang w:eastAsia="ja-JP"/>
        </w:rPr>
        <w:t xml:space="preserve"> </w:t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27</w:t>
      </w:r>
      <w:r>
        <w:rPr>
          <w:rFonts w:eastAsia="Times New Roman" w:cs="Arial"/>
          <w:bCs/>
          <w:sz w:val="22"/>
          <w:szCs w:val="22"/>
          <w:highlight w:val="none"/>
          <w:vertAlign w:val="superscript"/>
          <w:lang w:eastAsia="ja-JP"/>
        </w:rPr>
        <w:t>th</w:t>
      </w:r>
      <w:r>
        <w:rPr>
          <w:rFonts w:eastAsia="Times New Roman" w:cs="Arial"/>
          <w:bCs/>
          <w:sz w:val="22"/>
          <w:szCs w:val="22"/>
          <w:highlight w:val="none"/>
          <w:lang w:eastAsia="ja-JP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 Corporation</w:t>
      </w:r>
    </w:p>
    <w:p>
      <w:pPr>
        <w:spacing w:after="0"/>
        <w:ind w:left="1988" w:hanging="1988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sz w:val="21"/>
          <w:szCs w:val="22"/>
          <w:lang w:eastAsia="zh-CN"/>
        </w:rPr>
        <w:t>Discussion on PUCCH</w:t>
      </w:r>
      <w:r>
        <w:rPr>
          <w:rFonts w:hint="eastAsia" w:ascii="Arial" w:hAnsi="Arial"/>
          <w:b/>
          <w:sz w:val="21"/>
          <w:szCs w:val="22"/>
          <w:lang w:val="en-US" w:eastAsia="zh-CN"/>
        </w:rPr>
        <w:t xml:space="preserve"> coverage enhancement</w:t>
      </w:r>
    </w:p>
    <w:p>
      <w:pPr>
        <w:tabs>
          <w:tab w:val="left" w:pos="1985"/>
        </w:tabs>
        <w:spacing w:after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8.</w:t>
      </w:r>
      <w:r>
        <w:rPr>
          <w:rFonts w:hint="eastAsia" w:ascii="Arial" w:hAnsi="Arial"/>
          <w:b/>
          <w:lang w:val="en-US" w:eastAsia="zh-CN"/>
        </w:rPr>
        <w:t>8.2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rPr>
          <w:rFonts w:hint="eastAsia"/>
          <w:bCs/>
          <w:lang w:val="en-US" w:eastAsia="zh-CN"/>
        </w:rPr>
      </w:pPr>
      <w:r>
        <w:rPr>
          <w:rFonts w:hint="eastAsia"/>
          <w:lang w:val="en-US" w:eastAsia="zh-CN"/>
        </w:rPr>
        <w:t>According to the revised n</w:t>
      </w:r>
      <w:r>
        <w:rPr>
          <w:lang w:eastAsia="zh-CN"/>
        </w:rPr>
        <w:t>ew WID on NR coverage enhancements</w:t>
      </w:r>
      <w:r>
        <w:rPr>
          <w:rFonts w:hint="eastAsia"/>
          <w:lang w:val="en-US" w:eastAsia="zh-CN"/>
        </w:rPr>
        <w:t xml:space="preserve"> was approved [1], one </w:t>
      </w:r>
      <w:r>
        <w:t xml:space="preserve">objective </w:t>
      </w:r>
      <w:r>
        <w:rPr>
          <w:rFonts w:hint="eastAsia"/>
          <w:lang w:val="en-US" w:eastAsia="zh-CN"/>
        </w:rPr>
        <w:t xml:space="preserve">of the WID </w:t>
      </w:r>
      <w:r>
        <w:t xml:space="preserve">is to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pecify </w:t>
      </w:r>
      <w:r>
        <w:rPr>
          <w:rFonts w:hint="eastAsia"/>
          <w:lang w:val="en-US" w:eastAsia="zh-CN"/>
        </w:rPr>
        <w:t xml:space="preserve">enhancements for PUCCH for </w:t>
      </w:r>
      <w:r>
        <w:rPr>
          <w:bCs/>
          <w:lang w:eastAsia="zh-CN"/>
        </w:rPr>
        <w:t xml:space="preserve">both FR1 and FR2 as well as TDD and FDD. </w:t>
      </w:r>
      <w:r>
        <w:rPr>
          <w:rFonts w:hint="eastAsia"/>
          <w:bCs/>
          <w:lang w:val="en-US" w:eastAsia="zh-CN"/>
        </w:rPr>
        <w:t>The detail objectives for PUCCH enhancements are as follows: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4" w:type="dxa"/>
          </w:tcPr>
          <w:p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 w:line="276" w:lineRule="auto"/>
              <w:ind w:hanging="357"/>
              <w:jc w:val="both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pecification of PUCCH enhancements [RAN1, RAN4]</w:t>
            </w:r>
          </w:p>
          <w:p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Specify signaling mechanism to support d</w:t>
            </w:r>
            <w:r>
              <w:t>ynamic PUCCH repetition factor indication [RAN1]</w:t>
            </w:r>
          </w:p>
          <w:p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hint="eastAsia"/>
                <w:highlight w:val="none"/>
                <w:vertAlign w:val="baseline"/>
                <w:lang w:eastAsia="zh-CN"/>
              </w:rPr>
            </w:pPr>
            <w:r>
              <w:t>Specify mechanism to support DMRS bundling across PUCCH repetitions [RAN1, RAN4]</w:t>
            </w:r>
          </w:p>
          <w:p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hint="eastAsia"/>
                <w:highlight w:val="none"/>
                <w:vertAlign w:val="baseline"/>
                <w:lang w:eastAsia="zh-CN"/>
              </w:rPr>
            </w:pPr>
            <w:r>
              <w:t>When applicable, based on similar mechanism(s) for enabling joint channel estimation for PUSCH</w:t>
            </w:r>
          </w:p>
        </w:tc>
      </w:tr>
    </w:tbl>
    <w:p>
      <w:pPr>
        <w:bidi w:val="0"/>
        <w:spacing w:before="273" w:beforeLines="1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 xml:space="preserve">In this contribution, we </w:t>
      </w:r>
      <w:r>
        <w:rPr>
          <w:rFonts w:hint="eastAsia"/>
          <w:highlight w:val="none"/>
          <w:lang w:val="en-US" w:eastAsia="zh-CN"/>
        </w:rPr>
        <w:t>provide our views on corresponding enhancements for PUCCH.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color w:val="000000"/>
          <w:lang w:val="en-US" w:eastAsia="zh-CN"/>
        </w:rPr>
        <w:t>D</w:t>
      </w:r>
      <w:r>
        <w:rPr>
          <w:color w:val="000000"/>
          <w:lang w:eastAsia="ko-KR"/>
        </w:rPr>
        <w:t>ynamic PUCCH repetition factor indication</w:t>
      </w:r>
    </w:p>
    <w:p>
      <w:pPr>
        <w:pStyle w:val="3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Scope of dynamic PUCCH repetition factor indicator</w:t>
      </w:r>
    </w:p>
    <w:p>
      <w:pPr>
        <w:rPr>
          <w:rFonts w:hint="eastAsia"/>
          <w:lang w:val="en-US" w:eastAsia="zh-CN"/>
        </w:rPr>
      </w:pPr>
      <w:r>
        <w:rPr>
          <w:lang w:val="en-GB"/>
        </w:rPr>
        <w:t>Regarding whether dynamic PUCCH repetition factor indication should be applied to semi-static PUCCH</w:t>
      </w:r>
      <w:r>
        <w:rPr>
          <w:rFonts w:hint="eastAsia"/>
          <w:lang w:val="en-US" w:eastAsia="zh-CN"/>
        </w:rPr>
        <w:t>, we prefer not to support it. For these semi-static PUCCH transmissions, the payload is relatively stable. Therefore, semi-static repetition factor may be sufficient. For SR or SP/P-CSI PUCCH, the PUCCH resource is semi-static configured in RRC. There is no dynamic indicator that can be used, and 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know how dynamic indication could be supported.  </w:t>
      </w:r>
    </w:p>
    <w:p>
      <w:pPr>
        <w:rPr>
          <w:rFonts w:hint="eastAsia"/>
          <w:b w:val="0"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>1: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 Dynamic PUCCH repetition indication is not supported for SR and SP/P-CSI PUCCH.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As for PUCCH with HARQ-ACK for SPS PDSCH, </w:t>
      </w:r>
      <w:r>
        <w:rPr>
          <w:rFonts w:hint="eastAsia"/>
          <w:lang w:eastAsia="zh-CN"/>
        </w:rPr>
        <w:t>we think the same mechanism as the other dynamic UCI, which is indicated via the PRI carried in the activation DCI</w:t>
      </w:r>
      <w:r>
        <w:rPr>
          <w:rFonts w:hint="eastAsia"/>
          <w:lang w:val="en-US" w:eastAsia="zh-CN"/>
        </w:rPr>
        <w:t xml:space="preserve">, can be reused. That is, the repetition factor for the remaining PUCCH transmissions without corresponding PDCCH is same as the one indicated in the activation DCI.   </w:t>
      </w:r>
    </w:p>
    <w:p>
      <w:pPr>
        <w:rPr>
          <w:rFonts w:hint="default"/>
          <w:b w:val="0"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 xml:space="preserve">2: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Dynamic PUCCH repetition factor indicator is supported for PUCCH </w:t>
      </w:r>
      <w:r>
        <w:rPr>
          <w:rFonts w:hint="eastAsia"/>
          <w:b w:val="0"/>
          <w:bCs/>
          <w:i/>
          <w:iCs/>
          <w:lang w:val="en-US" w:eastAsia="zh-CN"/>
        </w:rPr>
        <w:t>with HARQ-ACK for SPS PDSCH</w:t>
      </w:r>
      <w:r>
        <w:rPr>
          <w:rFonts w:hint="eastAsia"/>
          <w:b w:val="0"/>
          <w:bCs/>
          <w:i/>
          <w:iCs/>
          <w:sz w:val="20"/>
          <w:szCs w:val="20"/>
          <w:lang w:val="en-US" w:eastAsia="zh-CN"/>
        </w:rPr>
        <w:t>.</w:t>
      </w:r>
    </w:p>
    <w:p>
      <w:pPr>
        <w:pStyle w:val="3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Options for dynamic PUCCH repetition factor indicator</w:t>
      </w:r>
    </w:p>
    <w:p>
      <w:r>
        <w:rPr>
          <w:rFonts w:hint="eastAsia"/>
          <w:lang w:val="en-US" w:eastAsia="zh-CN"/>
        </w:rPr>
        <w:t>In RAN1 #105-e, f</w:t>
      </w:r>
      <w:r>
        <w:t>our options to support dynamic PUCCH repetition factor indication are discussed.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14"/>
              <w:numPr>
                <w:ilvl w:val="0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Option 1a: Enhance RRC signaling to allow configuration of PUCCH repetition factor per PUCCH resource.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 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FFS: RRC signaling enhancement details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[Note: the applicability of starting CCE index to PUCCH resource indication is the same as in Rel-16 specification. It is not intended to extend the applicability of starting CCE index beyond what is specified in Rel-16.]</w:t>
            </w:r>
          </w:p>
          <w:p>
            <w:pPr>
              <w:pStyle w:val="114"/>
              <w:numPr>
                <w:ilvl w:val="0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Option 1b: Enhance RRC signaling to allow configuration of PUCCH repetition factor per PUCCH resource. Reuse Rel-15 PUCCH indication mechanism based on “PUCCH resource indicator” (PRI) field and starting CCE index (when applicable) of DCI to indicate a PUCCH resource and its associated repetition factor.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In additional to PRI and starting CCE index, use PDCCH aggregation level to indicate PUCCH repetition factor. FFS details. 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FFS: RRC signaling enhancement details</w:t>
            </w:r>
          </w:p>
          <w:p>
            <w:pPr>
              <w:pStyle w:val="114"/>
              <w:numPr>
                <w:ilvl w:val="0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Option 2a: introduce a new field (with 2 bits) in DCI to indicate PUCCH repetition factor. </w:t>
            </w:r>
          </w:p>
          <w:p>
            <w:pPr>
              <w:pStyle w:val="114"/>
              <w:numPr>
                <w:ilvl w:val="0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Option 2b: increase the number of bits of an existing field in DCI for PUCCH repetition factor indication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FFS: the existing field is PRI or other field such as TPC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FFS: the number of increased bits for the existing field 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FFS: the codepoints for PRI/TPC with repetition factor indication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after="0" w:line="280" w:lineRule="atLeast"/>
              <w:jc w:val="left"/>
              <w:rPr>
                <w:vertAlign w:val="baseline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FFS: whether RRC signaling is enhanced to allow configuration of PUCCH repetition factor per PUCCH resource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And based on the comments received in the discussion, Option 1a is supported by majority companies. </w:t>
      </w:r>
      <w:r>
        <w:t>The technical merits of option 1a is simplicity and small spec impact.</w:t>
      </w:r>
      <w:r>
        <w:rPr>
          <w:rFonts w:hint="eastAsia"/>
          <w:lang w:val="en-US" w:eastAsia="zh-CN"/>
        </w:rPr>
        <w:t xml:space="preserve"> Therefore, FL made the following working assumption: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4" w:type="dxa"/>
          </w:tcPr>
          <w:p>
            <w:pPr>
              <w:spacing w:before="120" w:line="280" w:lineRule="atLeast"/>
              <w:rPr>
                <w:rFonts w:ascii="Times New Roman" w:hAnsi="Times New Roman"/>
                <w:szCs w:val="20"/>
                <w:lang w:eastAsia="ja-JP"/>
              </w:rPr>
            </w:pPr>
            <w:r>
              <w:rPr>
                <w:szCs w:val="20"/>
                <w:highlight w:val="darkYellow"/>
                <w:lang w:eastAsia="ja-JP"/>
              </w:rPr>
              <w:t>Working assumption</w:t>
            </w:r>
            <w:r>
              <w:rPr>
                <w:szCs w:val="20"/>
                <w:lang w:eastAsia="ja-JP"/>
              </w:rPr>
              <w:t xml:space="preserve">: In Rel-17, for a PUCCH with associated scheduling DCI, support the following for dynamic PUCCH repetition factor indication. </w:t>
            </w:r>
          </w:p>
          <w:p>
            <w:pPr>
              <w:pStyle w:val="114"/>
              <w:numPr>
                <w:ilvl w:val="0"/>
                <w:numId w:val="11"/>
              </w:numPr>
              <w:spacing w:before="120" w:line="280" w:lineRule="atLeast"/>
              <w:ind w:leftChars="0"/>
              <w:rPr>
                <w:rFonts w:ascii="Times New Roman" w:hAnsi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szCs w:val="20"/>
              </w:rPr>
      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>
            <w:pPr>
              <w:pStyle w:val="114"/>
              <w:numPr>
                <w:ilvl w:val="1"/>
                <w:numId w:val="11"/>
              </w:numPr>
              <w:spacing w:before="120" w:line="280" w:lineRule="atLeast"/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0"/>
              </w:rPr>
              <w:t>FFS: RRC signaling enhancement details</w:t>
            </w:r>
          </w:p>
        </w:tc>
      </w:tr>
    </w:tbl>
    <w:p>
      <w:pPr>
        <w:pStyle w:val="152"/>
        <w:numPr>
          <w:ilvl w:val="0"/>
          <w:numId w:val="0"/>
        </w:numPr>
        <w:spacing w:after="137" w:afterLines="50" w:line="240" w:lineRule="auto"/>
        <w:ind w:leftChars="0"/>
        <w:jc w:val="left"/>
        <w:rPr>
          <w:rFonts w:hint="eastAsia" w:ascii="Times New Roman" w:hAnsi="Times New Roman" w:eastAsia="宋体"/>
          <w:bCs w:val="0"/>
          <w:szCs w:val="24"/>
          <w:lang w:val="en-US" w:eastAsia="zh-CN"/>
        </w:rPr>
      </w:pPr>
    </w:p>
    <w:p>
      <w:pPr>
        <w:pStyle w:val="152"/>
        <w:numPr>
          <w:ilvl w:val="0"/>
          <w:numId w:val="0"/>
        </w:numPr>
        <w:spacing w:after="137" w:afterLines="50" w:line="240" w:lineRule="auto"/>
        <w:ind w:leftChars="0"/>
        <w:jc w:val="left"/>
        <w:rPr>
          <w:rFonts w:hint="default" w:ascii="Times New Roman" w:hAnsi="Times New Roman" w:eastAsia="宋体" w:cs="Times New Roman"/>
          <w:bCs w:val="0"/>
          <w:szCs w:val="24"/>
          <w:lang w:val="en-US" w:eastAsia="zh-CN"/>
        </w:rPr>
      </w:pPr>
      <w:r>
        <w:rPr>
          <w:rFonts w:hint="eastAsia" w:ascii="Times New Roman" w:hAnsi="Times New Roman" w:eastAsia="宋体"/>
          <w:bCs w:val="0"/>
          <w:szCs w:val="24"/>
          <w:lang w:val="en-US" w:eastAsia="zh-CN"/>
        </w:rPr>
        <w:t xml:space="preserve">First of all, we should confirm the working assumptions. Reusing Rel-16 PUCCH resource indicatoion mechanism may be enough and the specification efforts are minor. Rregarding the FFS, a straightforward way is to </w:t>
      </w:r>
      <w:r>
        <w:rPr>
          <w:rFonts w:hint="eastAsia" w:ascii="Times New Roman" w:hAnsi="Times New Roman" w:eastAsia="宋体" w:cs="Times New Roman"/>
          <w:bCs w:val="0"/>
          <w:szCs w:val="24"/>
          <w:lang w:val="en-US" w:eastAsia="zh-CN"/>
        </w:rPr>
        <w:t xml:space="preserve">add a new IE indicating </w:t>
      </w:r>
      <w:r>
        <w:rPr>
          <w:rFonts w:hint="eastAsia" w:ascii="Times New Roman" w:hAnsi="Times New Roman" w:eastAsia="宋体"/>
          <w:bCs w:val="0"/>
          <w:szCs w:val="24"/>
          <w:lang w:eastAsia="zh-CN"/>
        </w:rPr>
        <w:t>the</w:t>
      </w:r>
      <w:r>
        <w:rPr>
          <w:rFonts w:hint="eastAsia" w:ascii="Times New Roman" w:hAnsi="Times New Roman" w:eastAsia="宋体"/>
          <w:bCs w:val="0"/>
          <w:szCs w:val="24"/>
          <w:lang w:val="en-US" w:eastAsia="zh-CN"/>
        </w:rPr>
        <w:t xml:space="preserve"> PUCCH </w:t>
      </w:r>
      <w:r>
        <w:rPr>
          <w:rFonts w:hint="eastAsia" w:ascii="Times New Roman" w:hAnsi="Times New Roman" w:eastAsia="宋体"/>
          <w:bCs w:val="0"/>
          <w:szCs w:val="24"/>
          <w:lang w:eastAsia="zh-CN"/>
        </w:rPr>
        <w:t xml:space="preserve">repetition </w:t>
      </w:r>
      <w:r>
        <w:rPr>
          <w:rFonts w:hint="eastAsia" w:ascii="Times New Roman" w:hAnsi="Times New Roman" w:eastAsia="宋体"/>
          <w:bCs w:val="0"/>
          <w:szCs w:val="24"/>
          <w:lang w:val="en-US" w:eastAsia="zh-CN"/>
        </w:rPr>
        <w:t xml:space="preserve">factor </w:t>
      </w:r>
      <w:r>
        <w:rPr>
          <w:rFonts w:hint="eastAsia" w:ascii="Times New Roman" w:hAnsi="Times New Roman" w:eastAsia="宋体"/>
          <w:bCs w:val="0"/>
          <w:szCs w:val="24"/>
          <w:lang w:eastAsia="zh-CN"/>
        </w:rPr>
        <w:t>to each PUCCH resource</w:t>
      </w:r>
      <w:r>
        <w:rPr>
          <w:rFonts w:hint="eastAsia" w:ascii="Times New Roman" w:hAnsi="Times New Roman" w:eastAsia="宋体"/>
          <w:bCs w:val="0"/>
          <w:szCs w:val="24"/>
          <w:lang w:val="en-US" w:eastAsia="zh-CN"/>
        </w:rPr>
        <w:t>. For different PUCCH resources, different PUCCH repetition factors can be configured.</w:t>
      </w:r>
      <w:r>
        <w:rPr>
          <w:rFonts w:hint="eastAsia" w:ascii="Times New Roman" w:hAnsi="Times New Roman" w:eastAsia="宋体" w:cs="Times New Roman"/>
          <w:bCs w:val="0"/>
          <w:szCs w:val="24"/>
          <w:lang w:val="en-GB" w:eastAsia="zh-CN"/>
        </w:rPr>
        <w:t xml:space="preserve"> </w:t>
      </w:r>
      <w:r>
        <w:rPr>
          <w:rFonts w:hint="eastAsia" w:ascii="Times New Roman" w:hAnsi="Times New Roman" w:eastAsia="宋体" w:cs="Times New Roman"/>
          <w:bCs w:val="0"/>
          <w:szCs w:val="24"/>
          <w:lang w:val="en-US" w:eastAsia="zh-CN"/>
        </w:rPr>
        <w:t>In this way</w:t>
      </w:r>
      <w:r>
        <w:rPr>
          <w:rFonts w:hint="eastAsia" w:ascii="Times New Roman" w:hAnsi="Times New Roman" w:eastAsia="宋体" w:cs="Times New Roman"/>
          <w:bCs w:val="0"/>
          <w:szCs w:val="24"/>
          <w:lang w:val="en-GB" w:eastAsia="zh-CN"/>
        </w:rPr>
        <w:t>, dynamic PUCCH repetition</w:t>
      </w:r>
      <w:r>
        <w:rPr>
          <w:rFonts w:hint="eastAsia" w:ascii="Times New Roman" w:hAnsi="Times New Roman" w:eastAsia="宋体" w:cs="Times New Roman"/>
          <w:bCs w:val="0"/>
          <w:szCs w:val="24"/>
          <w:lang w:val="en-US" w:eastAsia="zh-CN"/>
        </w:rPr>
        <w:t xml:space="preserve"> factor</w:t>
      </w:r>
      <w:r>
        <w:rPr>
          <w:rFonts w:hint="eastAsia" w:ascii="Times New Roman" w:hAnsi="Times New Roman" w:eastAsia="宋体" w:cs="Times New Roman"/>
          <w:bCs w:val="0"/>
          <w:szCs w:val="24"/>
          <w:lang w:val="en-GB" w:eastAsia="zh-CN"/>
        </w:rPr>
        <w:t xml:space="preserve"> </w:t>
      </w:r>
      <w:r>
        <w:rPr>
          <w:rFonts w:hint="eastAsia" w:ascii="Times New Roman" w:hAnsi="Times New Roman" w:eastAsia="宋体" w:cs="Times New Roman"/>
          <w:bCs w:val="0"/>
          <w:szCs w:val="24"/>
          <w:lang w:val="en-US" w:eastAsia="zh-CN"/>
        </w:rPr>
        <w:t xml:space="preserve">can </w:t>
      </w:r>
      <w:r>
        <w:rPr>
          <w:rFonts w:hint="eastAsia" w:ascii="Times New Roman" w:hAnsi="Times New Roman" w:eastAsia="宋体" w:cs="Times New Roman"/>
          <w:bCs w:val="0"/>
          <w:szCs w:val="24"/>
          <w:lang w:val="en-GB" w:eastAsia="zh-CN"/>
        </w:rPr>
        <w:t>be supported by indicating the PUCCH resource through PRI.</w:t>
      </w:r>
      <w:r>
        <w:rPr>
          <w:rFonts w:hint="eastAsia" w:ascii="Times New Roman" w:hAnsi="Times New Roman" w:eastAsia="宋体" w:cs="Times New Roman"/>
          <w:bCs w:val="0"/>
          <w:szCs w:val="24"/>
          <w:lang w:val="en-US" w:eastAsia="zh-CN"/>
        </w:rPr>
        <w:t xml:space="preserve"> gNB has the flexibility to configure the repetition number for each PUCCH resource. 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PUCCH-Resource ::=                      SEQUENCE {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pucch-ResourceId                       PUCCH-ResourceId,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startingPRB                             PRB-Id,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intraSlotFrequencyHopping            ENUMERATED { enabled }       OPTIONAL, -- Need R</w:t>
      </w:r>
    </w:p>
    <w:p>
      <w:pPr>
        <w:ind w:firstLine="320" w:firstLineChars="20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secondHopPRB                           </w:t>
      </w:r>
      <w:r>
        <w:rPr>
          <w:rFonts w:hint="eastAsia" w:ascii="Courier New" w:hAnsi="Courier New" w:cs="Courier New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szCs w:val="16"/>
        </w:rPr>
        <w:t>PRB-Id                       OPTIONAL, -- Need R</w:t>
      </w:r>
    </w:p>
    <w:p>
      <w:pPr>
        <w:ind w:firstLine="320" w:firstLineChars="200"/>
        <w:rPr>
          <w:rFonts w:ascii="Courier New" w:hAnsi="Courier New" w:cs="Courier New"/>
          <w:sz w:val="16"/>
          <w:szCs w:val="16"/>
          <w:shd w:val="clear" w:color="FFFFFF" w:fill="D9D9D9"/>
        </w:rPr>
      </w:pPr>
      <w:r>
        <w:rPr>
          <w:rFonts w:ascii="Courier New" w:hAnsi="Courier New" w:cs="Courier New"/>
          <w:sz w:val="16"/>
          <w:szCs w:val="16"/>
          <w:shd w:val="clear" w:color="FFFFFF" w:fill="D9D9D9"/>
        </w:rPr>
        <w:t>repetitionNum                          ENUMERATED {</w:t>
      </w:r>
      <w:r>
        <w:rPr>
          <w:rFonts w:hint="eastAsia" w:ascii="Courier New" w:hAnsi="Courier New" w:cs="Courier New"/>
          <w:sz w:val="16"/>
          <w:szCs w:val="16"/>
          <w:shd w:val="clear" w:color="FFFFFF" w:fill="D9D9D9"/>
          <w:lang w:val="en-US" w:eastAsia="zh-CN"/>
        </w:rPr>
        <w:t>n1,</w:t>
      </w:r>
      <w:r>
        <w:rPr>
          <w:rFonts w:ascii="Courier New" w:hAnsi="Courier New" w:cs="Courier New"/>
          <w:sz w:val="16"/>
          <w:szCs w:val="16"/>
          <w:shd w:val="clear" w:color="FFFFFF" w:fill="D9D9D9"/>
        </w:rPr>
        <w:t>n2,n4,n8}        OPTIONAL, -- Need S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format                                  </w:t>
      </w:r>
      <w:r>
        <w:rPr>
          <w:rFonts w:hint="eastAsia" w:ascii="Courier New" w:hAnsi="Courier New" w:cs="Courier New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szCs w:val="16"/>
        </w:rPr>
        <w:t>CHOICE {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format0                                 PUCCH-format0,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format1                                 PUCCH-format1,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format2                                 PUCCH-format2,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format3                                 PUCCH-format3,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format4                                 PUCCH-format4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>3</w:t>
      </w:r>
      <w:r>
        <w:rPr>
          <w:rFonts w:hint="eastAsia"/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Dynamic PUCCH repetition factor can be achieved by configuring the repetition factor per PUCCH resource which can be dynamically indicated by PRI. </w:t>
      </w:r>
    </w:p>
    <w:p>
      <w:pPr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- a new IE indicating the PUCCH repetition factor in added to </w:t>
      </w:r>
      <w:r>
        <w:rPr>
          <w:rFonts w:hint="default"/>
          <w:b w:val="0"/>
          <w:bCs w:val="0"/>
          <w:i/>
          <w:iCs/>
          <w:lang w:val="en-US" w:eastAsia="zh-CN"/>
        </w:rPr>
        <w:t>“</w:t>
      </w:r>
      <w:r>
        <w:rPr>
          <w:rFonts w:hint="eastAsia"/>
          <w:b w:val="0"/>
          <w:bCs w:val="0"/>
          <w:i/>
          <w:iCs/>
          <w:lang w:val="en-US" w:eastAsia="zh-CN"/>
        </w:rPr>
        <w:t>PUCCH-Resource</w:t>
      </w:r>
      <w:r>
        <w:rPr>
          <w:rFonts w:hint="default"/>
          <w:b w:val="0"/>
          <w:bCs w:val="0"/>
          <w:i/>
          <w:iCs/>
          <w:lang w:val="en-US" w:eastAsia="zh-CN"/>
        </w:rPr>
        <w:t>”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</w:p>
    <w:p>
      <w:pPr>
        <w:pStyle w:val="2"/>
        <w:bidi w:val="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DMRS bundling</w:t>
      </w:r>
    </w:p>
    <w:p>
      <w:pPr>
        <w:pStyle w:val="3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case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LS sent from RAN1 to RAN4 in[2], there are the following use cases for joint channel estimation for PUCCH repetitions.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32"/>
              <w:spacing w:before="100" w:beforeAutospacing="1" w:after="100" w:afterAutospacing="1"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PUCCH repetitions, the following use cases are considered in RAN1. Among the following cases, RAN1 suggest RAN4 to prioritize the study on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use case 3, 4a, 4b,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and 5b for PUCCH repetitions. 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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1: back-to-back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within one slot.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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2: non-back-to-back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within one slot.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2a: no uplink transmission in the middle of two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2b: other uplink transmissions in the middle of two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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3: back-to-back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across consecutive slots.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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4: non-back-to-back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across consecutive slots.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4a: no uplink transmission in the middle of two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4b: other uplink transmissions in the middle of two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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   Use case 5: PUCCH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across non-consecutive slots.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   Use case 5a: no uplink transmission in the middle of two PUCCH repetitions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after="120" w:line="280" w:lineRule="atLeast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   Use case 5b: other uplink transmissions in the middle of two PUCCH repetitions</w:t>
            </w:r>
          </w:p>
          <w:p>
            <w:pPr>
              <w:pStyle w:val="32"/>
              <w:spacing w:before="100" w:beforeAutospacing="1" w:after="100" w:afterAutospacing="1" w:line="280" w:lineRule="atLeast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RAN1 assumes “back-to-back PUCCH repetitions” has zero gap in-between adjacent PUCCH repetitions.</w:t>
            </w:r>
          </w:p>
          <w:p>
            <w:pPr>
              <w:pStyle w:val="32"/>
              <w:spacing w:before="100" w:beforeAutospacing="1" w:after="100" w:afterAutospacing="1" w:line="280" w:lineRule="atLeas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Note: intervening “other uplink transmissions” can be either on the same component carrier or a different component carrier.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RAN1 </w:t>
      </w:r>
      <w:r>
        <w:rPr>
          <w:rFonts w:hint="eastAsia"/>
          <w:color w:val="auto"/>
          <w:lang w:val="en-US" w:eastAsia="zh-CN"/>
        </w:rPr>
        <w:t xml:space="preserve">105-e, it was concluded that Use case 1, 2a and 2b were deprioritized and </w:t>
      </w:r>
      <w:r>
        <w:rPr>
          <w:rFonts w:hint="eastAsia"/>
          <w:lang w:val="en-US" w:eastAsia="zh-CN"/>
        </w:rPr>
        <w:t xml:space="preserve">in RAN1 work for on PUCCH DMRS bundling. 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32"/>
              <w:spacing w:before="120" w:line="280" w:lineRule="atLeast"/>
              <w:ind w:left="0" w:firstLine="0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u w:val="single"/>
                <w:lang w:eastAsia="ja-JP"/>
              </w:rPr>
              <w:t>Conclusion</w:t>
            </w:r>
            <w:r>
              <w:rPr>
                <w:sz w:val="20"/>
                <w:szCs w:val="20"/>
                <w:lang w:eastAsia="ja-JP"/>
              </w:rPr>
              <w:t>: For PUCCH repetitions, the following use c</w:t>
            </w:r>
            <w:r>
              <w:rPr>
                <w:sz w:val="20"/>
                <w:szCs w:val="20"/>
                <w:highlight w:val="none"/>
                <w:lang w:eastAsia="ja-JP"/>
              </w:rPr>
              <w:t>ases are deprioritized in RAN1 work on PUCCH DMRS bundling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line="280" w:lineRule="atLeast"/>
              <w:ind w:left="1128" w:hanging="420"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Ÿ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   Use case 1: back-to-back PUCCH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within one slot.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line="280" w:lineRule="atLeast"/>
              <w:ind w:left="1128" w:hanging="420"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Wingdings" w:hAnsi="Wingdings"/>
                <w:sz w:val="20"/>
                <w:szCs w:val="20"/>
                <w:lang w:eastAsia="ko-KR"/>
              </w:rPr>
              <w:t>Ÿ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   Use case 2: non-back-to-back PUCCH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repetitions 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within one slot.</w:t>
            </w:r>
          </w:p>
          <w:p>
            <w:pPr>
              <w:pStyle w:val="32"/>
              <w:overflowPunct w:val="0"/>
              <w:autoSpaceDE w:val="0"/>
              <w:autoSpaceDN w:val="0"/>
              <w:spacing w:before="120" w:line="280" w:lineRule="atLeast"/>
              <w:ind w:left="1128" w:hanging="420"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   Use case 2a: no uplink transmission in the middle of two PUCCH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repetitions </w:t>
            </w:r>
          </w:p>
          <w:p>
            <w:pPr>
              <w:pStyle w:val="32"/>
              <w:spacing w:before="120" w:line="280" w:lineRule="atLeast"/>
              <w:ind w:left="1128" w:hanging="42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ko-KR"/>
              </w:rPr>
              <w:t>‐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   Use case 2b: other uplink transmissions in the middle of two PUCCH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repetitions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Regarding Use case 4a/5a and 4b/5b, RAN4 has replied further information in [3], as also copied below.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Non-zero un-scheduled gap in-between repetitions</w:t>
            </w:r>
          </w:p>
          <w:p>
            <w:pPr>
              <w:spacing w:before="120" w:line="280" w:lineRule="atLeas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To maintain phase continuity and power consistency across the PUSCH transmissions or PUCCH repetitions, the value of un-scheduled symbols in-between the repetitions up to 13OS is feasible (with some TBD phase tolerance):</w:t>
            </w:r>
          </w:p>
          <w:p>
            <w:pPr>
              <w:numPr>
                <w:ilvl w:val="0"/>
                <w:numId w:val="12"/>
              </w:numPr>
              <w:spacing w:before="120" w:line="280" w:lineRule="atLeast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Whether maximum X can be 14OS or 1ms for different SCS FFS </w:t>
            </w:r>
          </w:p>
          <w:p>
            <w:pPr>
              <w:numPr>
                <w:ilvl w:val="0"/>
                <w:numId w:val="12"/>
              </w:numPr>
              <w:spacing w:before="120" w:line="280" w:lineRule="atLeast"/>
              <w:ind w:left="420" w:leftChars="0" w:hanging="420" w:firstLineChars="0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Further study if new RF requirements for UE during the gap are needed</w:t>
            </w:r>
          </w:p>
          <w:p>
            <w:pPr>
              <w:spacing w:before="120" w:line="280" w:lineRule="atLeas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For transmit power on the gap symbols that less than or equal to 1ms, RAN4 down select solution from following options:</w:t>
            </w:r>
          </w:p>
          <w:p>
            <w:pPr>
              <w:numPr>
                <w:ilvl w:val="0"/>
                <w:numId w:val="12"/>
              </w:numPr>
              <w:spacing w:before="120" w:line="280" w:lineRule="atLeast"/>
              <w:ind w:left="420" w:leftChars="0" w:hanging="420" w:firstLineChars="0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Option 1: define new transmit off power for gap symbols less than or equal to 1ms explicitly for Rel-17 coverage enhancement case </w:t>
            </w:r>
          </w:p>
          <w:p>
            <w:pPr>
              <w:numPr>
                <w:ilvl w:val="0"/>
                <w:numId w:val="12"/>
              </w:numPr>
              <w:spacing w:before="120" w:line="280" w:lineRule="atLeast"/>
              <w:ind w:left="420" w:leftChars="0" w:hanging="420" w:firstLineChars="0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Option 2: RAN4 do not introduce new transmit off power</w:t>
            </w:r>
          </w:p>
          <w:p>
            <w:pPr>
              <w:numPr>
                <w:ilvl w:val="0"/>
                <w:numId w:val="12"/>
              </w:numPr>
              <w:spacing w:before="120" w:line="280" w:lineRule="atLeast"/>
              <w:ind w:left="420" w:leftChars="0" w:hanging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Option 3: The existing OFF power requirement apply to the un-scheduled gap</w:t>
            </w:r>
          </w:p>
          <w:p>
            <w:pPr>
              <w:numPr>
                <w:ilvl w:val="-1"/>
                <w:numId w:val="0"/>
              </w:numPr>
              <w:spacing w:before="0" w:line="240" w:lineRule="auto"/>
              <w:ind w:left="0" w:leftChars="0" w:firstLine="0" w:firstLineChars="0"/>
              <w:rPr>
                <w:rFonts w:hint="default"/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</w:rPr>
              <w:t>Non-zero un-scheduled gap with other uplink transmissions</w:t>
            </w:r>
          </w:p>
          <w:p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547" w:hanging="547"/>
              <w:jc w:val="left"/>
              <w:rPr>
                <w:sz w:val="20"/>
                <w:szCs w:val="20"/>
              </w:rPr>
            </w:pPr>
            <w:r>
              <w:rPr>
                <w:rFonts w:ascii="Symbol" w:hAnsi="Symbol" w:eastAsia="宋体" w:cs="Symbol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cenario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1: if the other </w:t>
            </w:r>
            <w:r>
              <w:rPr>
                <w:rFonts w:hint="default" w:ascii="Times New Roman" w:hAnsi="Times New Roman" w:eastAsia="宋体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scheduled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signals/channels during the non-zero gap have the </w:t>
            </w:r>
            <w:r>
              <w:rPr>
                <w:rFonts w:hint="default" w:ascii="Times New Roman" w:hAnsi="Times New Roman" w:eastAsia="MS Mincho" w:cs="mn-cs"/>
                <w:b/>
                <w:color w:val="000000"/>
                <w:kern w:val="24"/>
                <w:sz w:val="20"/>
                <w:szCs w:val="20"/>
                <w:u w:val="single"/>
                <w:lang w:val="en-US" w:eastAsia="zh-CN" w:bidi="ar"/>
              </w:rPr>
              <w:t>same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settings in antenna port, occupied PRBs and UL power than the repeated transmission signals/channels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166" w:hanging="446"/>
              <w:jc w:val="left"/>
              <w:rPr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  <w:lang w:val="en-US" w:eastAsia="zh-CN" w:bidi="ar"/>
              </w:rPr>
              <w:t>–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>Whether it is beneficial to define a Guard period for scenario 1: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  <w:tab w:val="left" w:pos="216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800" w:hanging="360"/>
              <w:jc w:val="left"/>
              <w:rPr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Option 1: In the case of different channel in between two repetitions, a guard period before returning to the repetitions is defined. Length of guard period is Y is FFS but shall not exceed 2 symbols.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  <w:tab w:val="left" w:pos="216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800" w:hanging="360"/>
              <w:jc w:val="left"/>
              <w:rPr>
                <w:sz w:val="20"/>
                <w:szCs w:val="20"/>
              </w:rPr>
            </w:pPr>
            <w:r>
              <w:rPr>
                <w:rFonts w:hint="default" w:ascii="Courier New" w:hAnsi="Courier New" w:eastAsia="宋体" w:cs="Courier New"/>
                <w:kern w:val="0"/>
                <w:sz w:val="20"/>
                <w:szCs w:val="20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Option 2: FFS. It is not clear why guard period can help make the phase aligned with before transmission. </w:t>
            </w:r>
          </w:p>
          <w:p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547" w:hanging="547"/>
              <w:jc w:val="left"/>
              <w:rPr>
                <w:sz w:val="20"/>
                <w:szCs w:val="20"/>
              </w:rPr>
            </w:pPr>
            <w:r>
              <w:rPr>
                <w:rFonts w:hint="default" w:ascii="Symbol" w:hAnsi="Symbol" w:eastAsia="宋体" w:cs="Symbol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cenario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2: 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f the other 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scheduled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signals/channels during the non-zero gap have the </w:t>
            </w:r>
            <w:r>
              <w:rPr>
                <w:rFonts w:hint="default" w:ascii="Times New Roman" w:hAnsi="Times New Roman" w:eastAsia="MS Mincho" w:cs="mn-cs"/>
                <w:b/>
                <w:color w:val="000000"/>
                <w:kern w:val="24"/>
                <w:sz w:val="20"/>
                <w:szCs w:val="20"/>
                <w:u w:val="single"/>
                <w:lang w:val="en-US" w:eastAsia="zh-CN" w:bidi="ar"/>
              </w:rPr>
              <w:t>different</w:t>
            </w:r>
            <w:r>
              <w:rPr>
                <w:rFonts w:hint="default" w:ascii="Times New Roman" w:hAnsi="Times New Roman" w:eastAsia="MS Mincho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 settings in antenna port, occupied PRBs or UL power than the repeated transmission signals/channels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166" w:hanging="446"/>
              <w:jc w:val="left"/>
              <w:rPr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kern w:val="0"/>
                <w:sz w:val="20"/>
                <w:szCs w:val="20"/>
                <w:lang w:val="en-US" w:eastAsia="zh-CN" w:bidi="ar"/>
              </w:rPr>
              <w:t>–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Option 1: a guard period before returning to the repetitions is defined.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Guard allows also different RBs and power levels for the other channels as agreed to be studied in the previous WF.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Length of guard period is Y is FFS but shall not exceed 2 symbols.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166" w:hanging="446"/>
              <w:jc w:val="left"/>
              <w:rPr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kern w:val="0"/>
                <w:sz w:val="20"/>
                <w:szCs w:val="20"/>
                <w:lang w:val="en-US" w:eastAsia="zh-CN" w:bidi="ar"/>
              </w:rPr>
              <w:t>–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Option 2: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Phase continuity and power consistency cannot be guaranteed.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166" w:hanging="446"/>
              <w:jc w:val="left"/>
              <w:rPr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kern w:val="0"/>
                <w:sz w:val="20"/>
                <w:szCs w:val="20"/>
                <w:lang w:val="en-US" w:eastAsia="zh-CN" w:bidi="ar"/>
              </w:rPr>
              <w:t>–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4"/>
                <w:sz w:val="20"/>
                <w:szCs w:val="20"/>
                <w:lang w:val="en-US" w:eastAsia="zh-CN" w:bidi="ar"/>
              </w:rPr>
              <w:t xml:space="preserve">Option 3: Further investigation is needed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484"/>
                <w:tab w:val="left" w:pos="709"/>
                <w:tab w:val="left" w:pos="1440"/>
                <w:tab w:val="left" w:pos="2160"/>
              </w:tabs>
              <w:kinsoku/>
              <w:wordWrap/>
              <w:overflowPunct/>
              <w:bidi w:val="0"/>
              <w:spacing w:before="60" w:beforeAutospacing="0" w:after="60" w:afterAutospacing="0" w:line="256" w:lineRule="auto"/>
              <w:ind w:left="1800" w:hanging="360"/>
              <w:jc w:val="left"/>
              <w:rPr>
                <w:sz w:val="20"/>
                <w:szCs w:val="20"/>
              </w:rPr>
            </w:pPr>
            <w:r>
              <w:rPr>
                <w:rFonts w:hint="default" w:ascii="Courier New" w:hAnsi="Courier New" w:eastAsia="宋体" w:cs="Courier New"/>
                <w:kern w:val="0"/>
                <w:sz w:val="20"/>
                <w:szCs w:val="20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等线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If the phase discontinuity for non-zero gap with other uplink transmission is within such tolerance value, this case can be supported</w:t>
            </w:r>
            <w:r>
              <w:rPr>
                <w:rFonts w:hint="default" w:ascii="Times New Roman" w:hAnsi="Times New Roman" w:eastAsia="宋体" w:cs="mn-cs"/>
                <w:color w:val="000000"/>
                <w:kern w:val="24"/>
                <w:sz w:val="20"/>
                <w:szCs w:val="20"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Based on above RAN4 reply, RAN4 only confirms the feasibility </w:t>
      </w:r>
      <w:r>
        <w:t>of phase continuity</w:t>
      </w:r>
      <w:r>
        <w:rPr>
          <w:rFonts w:hint="eastAsia"/>
          <w:lang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power consistency </w:t>
      </w:r>
      <w:r>
        <w:t xml:space="preserve">for non-zero un-scheduled gap case for a gap </w:t>
      </w:r>
      <w:r>
        <w:rPr>
          <w:rFonts w:hint="eastAsia"/>
          <w:lang w:val="en-US" w:eastAsia="zh-CN"/>
        </w:rPr>
        <w:t>up to 13</w:t>
      </w:r>
      <w:r>
        <w:t xml:space="preserve"> symbols</w:t>
      </w:r>
      <w:r>
        <w:rPr>
          <w:rFonts w:hint="eastAsia"/>
          <w:lang w:val="en-US" w:eastAsia="zh-CN"/>
        </w:rPr>
        <w:t xml:space="preserve"> That is, RAN4 requirements could be satisfied at least for use case 4a, while FFS for use case 5a depending on whether </w:t>
      </w:r>
      <w:r>
        <w:rPr>
          <w:rFonts w:hint="default"/>
          <w:vertAlign w:val="baseline"/>
          <w:lang w:val="en-US" w:eastAsia="zh-CN"/>
        </w:rPr>
        <w:t>1ms for different SCS</w:t>
      </w:r>
      <w:r>
        <w:rPr>
          <w:rFonts w:hint="eastAsia"/>
          <w:vertAlign w:val="baseline"/>
          <w:lang w:val="en-US" w:eastAsia="zh-CN"/>
        </w:rPr>
        <w:t xml:space="preserve"> can be supported. Regarding use case 4b/5b, it is still under discussion in RAN4, and it</w:t>
      </w:r>
      <w:r>
        <w:rPr>
          <w:rFonts w:hint="default"/>
          <w:vertAlign w:val="baseline"/>
          <w:lang w:val="en-US" w:eastAsia="zh-CN"/>
        </w:rPr>
        <w:t>’</w:t>
      </w:r>
      <w:r>
        <w:rPr>
          <w:rFonts w:hint="eastAsia"/>
          <w:vertAlign w:val="baseline"/>
          <w:lang w:val="en-US" w:eastAsia="zh-CN"/>
        </w:rPr>
        <w:t xml:space="preserve">s better to wait for RAN4 further decision. </w:t>
      </w:r>
    </w:p>
    <w:p>
      <w:pPr>
        <w:rPr>
          <w:rFonts w:hint="eastAsia"/>
          <w:b w:val="0"/>
          <w:bCs w:val="0"/>
          <w:i/>
          <w:iCs/>
          <w:color w:val="auto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Decide </w:t>
      </w:r>
      <w:r>
        <w:rPr>
          <w:rFonts w:hint="eastAsia"/>
          <w:b w:val="0"/>
          <w:bCs w:val="0"/>
          <w:i/>
          <w:iCs/>
          <w:color w:val="auto"/>
          <w:highlight w:val="none"/>
          <w:lang w:val="en-US" w:eastAsia="zh-CN"/>
        </w:rPr>
        <w:t>whether to support Use case 4b/5a/5b for PUCCH repetitions depending on RAN4 further decision.</w:t>
      </w:r>
    </w:p>
    <w:p>
      <w:pPr>
        <w:pStyle w:val="3"/>
        <w:bidi w:val="0"/>
        <w:ind w:left="576" w:leftChars="0" w:hanging="576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Time domain window and signaling mechanism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 plenary #91-e, it was concluded that joint channel estimation for PUCCH should be </w:t>
      </w:r>
      <w:r>
        <w:t>based on similar mechanism(s) for enabling joint channel estimation for PUSCH</w:t>
      </w:r>
      <w:r>
        <w:rPr>
          <w:rFonts w:hint="eastAsia"/>
          <w:lang w:val="en-US" w:eastAsia="zh-CN"/>
        </w:rPr>
        <w:t xml:space="preserve"> w</w:t>
      </w:r>
      <w:r>
        <w:t>hen applicable</w:t>
      </w:r>
      <w:r>
        <w:rPr>
          <w:rFonts w:hint="eastAsia"/>
          <w:lang w:val="en-US" w:eastAsia="zh-CN"/>
        </w:rPr>
        <w:t>. And the following agreement was achieved in RAN1 #105-e.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120" w:line="280" w:lineRule="atLeast"/>
              <w:rPr>
                <w:rFonts w:ascii="Times New Roman" w:hAnsi="Times New Roman"/>
                <w:szCs w:val="20"/>
              </w:rPr>
            </w:pPr>
            <w:r>
              <w:rPr>
                <w:szCs w:val="20"/>
                <w:highlight w:val="green"/>
              </w:rPr>
              <w:t>Agreement</w:t>
            </w:r>
            <w:r>
              <w:rPr>
                <w:szCs w:val="20"/>
              </w:rPr>
              <w:t>: For DMRS bundling for PUCCH repetitions, specify a time domain window during which a UE is expected to maintain power consistency and phase continuity among PUCCH repetitions subject to power consistency and phase continuity requirements.</w:t>
            </w:r>
          </w:p>
          <w:p>
            <w:pPr>
              <w:pStyle w:val="114"/>
              <w:numPr>
                <w:ilvl w:val="0"/>
                <w:numId w:val="13"/>
              </w:numPr>
              <w:spacing w:before="120" w:after="160" w:line="280" w:lineRule="atLeast"/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Strive for common design of the time domain window for PUSCH/PUCCH with DMRS bundling as much</w:t>
            </w:r>
            <w:r>
              <w:rPr>
                <w:rFonts w:ascii="Times New Roman" w:hAnsi="Times New Roman"/>
                <w:szCs w:val="20"/>
              </w:rPr>
              <w:t xml:space="preserve"> as possible.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our view, the time domain window size should be reported per UE level and applies to both PUSCH and PUCCH. gNB can configure a time domain window based on UE capability reporting, and the configured time domain window size should be also the same between PUSCH and PUCCH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 regarding the signaling mechanism for DMRS bundling for PUCCH, same mechanism as defined for PUSCH can be reused.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5: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Specify a time domain window for PUCCH repetition.</w:t>
      </w:r>
    </w:p>
    <w:p>
      <w:pPr>
        <w:numPr>
          <w:ilvl w:val="0"/>
          <w:numId w:val="14"/>
        </w:numPr>
        <w:ind w:left="840" w:hanging="420"/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 A UE reports a same time domain window size for PUSCH and PUCCH.</w:t>
      </w:r>
    </w:p>
    <w:p>
      <w:pPr>
        <w:numPr>
          <w:ilvl w:val="0"/>
          <w:numId w:val="14"/>
        </w:numPr>
        <w:ind w:left="840" w:hanging="420"/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 gNB configures a same time domain window for PUSCH and PUCCH.</w:t>
      </w:r>
    </w:p>
    <w:p>
      <w:pPr>
        <w:pStyle w:val="3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Inter-slot frequency hopping with inter-slot DMRS bundling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Regarding inter-slot frequency hopping with inter-slot DMRS bundling, the following proposal was proposed in RAN1#105-e by FL but no agreement was reached.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4" w:type="dxa"/>
          </w:tcPr>
          <w:p>
            <w:pPr>
              <w:spacing w:before="120" w:after="0" w:line="276" w:lineRule="auto"/>
              <w:contextualSpacing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 xml:space="preserve">FL Proposal 3: For inter slot frequency hopping with DMRS bundling, all PUCCH repetitions in a frequency hopping duration (similar to the time domain hopping interval defined for PUSCH repetition) belong to the same frequency hop. </w:t>
            </w:r>
          </w:p>
          <w:p>
            <w:pPr>
              <w:pStyle w:val="114"/>
              <w:numPr>
                <w:ilvl w:val="0"/>
                <w:numId w:val="15"/>
              </w:numPr>
              <w:spacing w:before="120" w:after="0" w:line="276" w:lineRule="auto"/>
              <w:contextualSpacing/>
              <w:rPr>
                <w:rFonts w:hint="eastAsia"/>
                <w:color w:val="0000FF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The frequency hopping duration equals to the size of </w:t>
            </w:r>
            <w:r>
              <w:rPr>
                <w:rFonts w:ascii="Times New Roman" w:hAnsi="Times New Roman" w:eastAsia="宋体"/>
                <w:b w:val="0"/>
                <w:bCs w:val="0"/>
                <w:color w:val="auto"/>
                <w:sz w:val="20"/>
                <w:szCs w:val="20"/>
              </w:rPr>
              <w:t xml:space="preserve">time domain window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where power consistency and phase coherency can be maintained.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the performance evaluation and some preliminary analysis for inter-slot frequency hopping with inter-slot DMRS bundling are provided. In </w:t>
      </w:r>
      <w:r>
        <w:rPr>
          <w:rFonts w:hint="default"/>
          <w:lang w:val="en-US" w:eastAsia="zh-CN"/>
        </w:rPr>
        <w:t xml:space="preserve">Figure 1, three DMRS </w:t>
      </w:r>
      <w:r>
        <w:rPr>
          <w:rFonts w:hint="eastAsia"/>
          <w:lang w:val="en-US" w:eastAsia="zh-CN"/>
        </w:rPr>
        <w:t xml:space="preserve">bundling </w:t>
      </w:r>
      <w:r>
        <w:rPr>
          <w:rFonts w:hint="default"/>
          <w:lang w:val="en-US" w:eastAsia="zh-CN"/>
        </w:rPr>
        <w:t xml:space="preserve">patterns are provided for PUCCH format 3 with 4 repetitions. </w:t>
      </w:r>
      <w:r>
        <w:rPr>
          <w:rFonts w:hint="eastAsia"/>
          <w:lang w:val="en-US" w:eastAsia="zh-CN"/>
        </w:rPr>
        <w:t xml:space="preserve">For Cases-1, two sub-cases are evaluated with or without enabling cross-slot joint channel estimation. The detailed simulation assumptions are provided in Table A-1 in the appendix. </w:t>
      </w:r>
    </w:p>
    <w:p>
      <w:pPr>
        <w:numPr>
          <w:ilvl w:val="0"/>
          <w:numId w:val="16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Case 1: No frequency hopping is enabled.</w:t>
      </w:r>
    </w:p>
    <w:p>
      <w:pPr>
        <w:numPr>
          <w:ilvl w:val="0"/>
          <w:numId w:val="1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Case 1-1: No cross-slot joint channel estimation. (Baseline-1)</w:t>
      </w:r>
    </w:p>
    <w:p>
      <w:pPr>
        <w:numPr>
          <w:ilvl w:val="0"/>
          <w:numId w:val="1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Case 1-2: Cross-slot joint channel estimation is enabled. (Enhancement-1)  </w:t>
      </w:r>
    </w:p>
    <w:p>
      <w:pPr>
        <w:numPr>
          <w:ilvl w:val="0"/>
          <w:numId w:val="16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Case 2: Legacy inter-slot frequency hopping is enabled. (Baseline-2)</w:t>
      </w:r>
    </w:p>
    <w:p>
      <w:pPr>
        <w:numPr>
          <w:ilvl w:val="0"/>
          <w:numId w:val="16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Case 3: </w:t>
      </w:r>
      <w:r>
        <w:t>Inter-slot frequency hopping with inter-slot bundling</w:t>
      </w:r>
      <w:r>
        <w:rPr>
          <w:rFonts w:hint="eastAsia"/>
          <w:lang w:val="en-US" w:eastAsia="zh-CN"/>
        </w:rPr>
        <w:t xml:space="preserve">, bundling size is 2.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6118225" cy="502920"/>
            <wp:effectExtent l="0" t="0" r="15875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8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Case 1: No frequency hopping for 4 PUCCH repetitions  </w:t>
      </w:r>
    </w:p>
    <w:p>
      <w:pPr>
        <w:jc w:val="center"/>
      </w:pPr>
      <w:r>
        <w:drawing>
          <wp:inline distT="0" distB="0" distL="114300" distR="114300">
            <wp:extent cx="6118225" cy="502920"/>
            <wp:effectExtent l="0" t="0" r="15875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8"/>
        </w:numPr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Case 2: Legacy inter-slot frequency hopping for 4 PUCCH repetitions </w:t>
      </w:r>
    </w:p>
    <w:p>
      <w:pPr>
        <w:jc w:val="center"/>
      </w:pPr>
      <w:r>
        <w:drawing>
          <wp:inline distT="0" distB="0" distL="114300" distR="114300">
            <wp:extent cx="6118225" cy="866140"/>
            <wp:effectExtent l="0" t="0" r="15875" b="1016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8"/>
        </w:numPr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Case 3: </w:t>
      </w:r>
      <w:r>
        <w:t>Inter-slot frequency hopping with inter-slot bundling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1. Three DMRS patterns for PUCCH repetitions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681095" cy="2760980"/>
            <wp:effectExtent l="0" t="0" r="0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1095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2. Simulation results for different DMRS patterns with 4 repetitions.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According to the results in Figure 2, we can find the following observations. </w:t>
      </w:r>
    </w:p>
    <w:p>
      <w:pPr>
        <w:numPr>
          <w:ilvl w:val="0"/>
          <w:numId w:val="19"/>
        </w:numPr>
        <w:ind w:left="42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DMRS bundling only (Case 1-2) vs inter-slot FH only (Case 2):</w:t>
      </w:r>
    </w:p>
    <w:p>
      <w:pPr>
        <w:numPr>
          <w:ilvl w:val="0"/>
          <w:numId w:val="20"/>
        </w:numPr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low SNR region, DMRS bundling only has better performance than inter-slot FH only.</w:t>
      </w:r>
    </w:p>
    <w:p>
      <w:pPr>
        <w:numPr>
          <w:ilvl w:val="0"/>
          <w:numId w:val="20"/>
        </w:numPr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high SNR region, inter-slot FH only is expected to have better performance than DMRS bundling only.</w:t>
      </w:r>
    </w:p>
    <w:p>
      <w:pPr>
        <w:numPr>
          <w:ilvl w:val="0"/>
          <w:numId w:val="20"/>
        </w:numPr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the target </w:t>
      </w:r>
      <w:r>
        <w:rPr>
          <w:rFonts w:hint="eastAsia"/>
          <w:color w:val="auto"/>
          <w:highlight w:val="none"/>
          <w:u w:val="none"/>
          <w:lang w:val="en-US" w:eastAsia="zh-CN"/>
        </w:rPr>
        <w:t>BLER@0.01,</w:t>
      </w:r>
      <w:r>
        <w:rPr>
          <w:rFonts w:hint="eastAsia"/>
          <w:highlight w:val="none"/>
          <w:lang w:val="en-US" w:eastAsia="zh-CN"/>
        </w:rPr>
        <w:t xml:space="preserve"> similar performance is achieved for both cases. </w:t>
      </w:r>
    </w:p>
    <w:p>
      <w:pPr>
        <w:numPr>
          <w:ilvl w:val="0"/>
          <w:numId w:val="19"/>
        </w:numPr>
        <w:ind w:left="420" w:leftChars="0" w:hanging="420" w:firstLineChars="0"/>
        <w:rPr>
          <w:rFonts w:hint="eastAsia" w:ascii="Times New Roman" w:hAnsi="Times New Roman" w:cs="Times New Roman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highlight w:val="none"/>
          <w:lang w:val="en-US" w:eastAsia="zh-CN"/>
        </w:rPr>
        <w:t>DMRS bundling + inter-slot FH (Case 3) vs inter-slot FH only (Case 2) or DMRS bundling only (Case 1-2)</w:t>
      </w:r>
    </w:p>
    <w:p>
      <w:pPr>
        <w:numPr>
          <w:ilvl w:val="0"/>
          <w:numId w:val="20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Around 1dB performance gain of DMRS bundling + inter-slot FH is observed compared to inter-slot FH only or DMRS bundling only at target BLER@0.01. </w:t>
      </w:r>
    </w:p>
    <w:p>
      <w:pPr>
        <w:numPr>
          <w:ilvl w:val="-1"/>
          <w:numId w:val="0"/>
        </w:numPr>
        <w:spacing w:before="0" w:beforeLines="-2147483648"/>
        <w:ind w:leftChars="0"/>
        <w:rPr>
          <w:rFonts w:hint="eastAsia"/>
          <w:i/>
          <w:iCs/>
          <w:lang w:val="en-US" w:eastAsia="zh-CN"/>
        </w:rPr>
      </w:pPr>
      <w:r>
        <w:rPr>
          <w:rFonts w:hint="eastAsia" w:ascii="Times" w:hAnsi="Times" w:cs="Times"/>
          <w:b/>
          <w:bCs/>
          <w:i/>
          <w:iCs/>
          <w:lang w:val="en-US" w:eastAsia="zh-CN"/>
        </w:rPr>
        <w:t>Observation 1</w:t>
      </w:r>
      <w:r>
        <w:rPr>
          <w:rFonts w:hint="eastAsia" w:ascii="Times" w:hAnsi="Times" w:cs="Times"/>
          <w:b w:val="0"/>
          <w:bCs w:val="0"/>
          <w:i/>
          <w:iCs/>
          <w:lang w:val="en-US" w:eastAsia="zh-CN"/>
        </w:rPr>
        <w:t>: F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or PUCCH with four repetitions, </w:t>
      </w:r>
      <w:r>
        <w:rPr>
          <w:rFonts w:hint="eastAsia"/>
          <w:i/>
          <w:iCs/>
          <w:lang w:val="en-US" w:eastAsia="zh-CN"/>
        </w:rPr>
        <w:t>enabling both inter-slot frequency hopping and DMRS bundling can provide 1 dB gain compared with inter-slot frequency hopping only or DMRS bundling only.</w:t>
      </w:r>
    </w:p>
    <w:p>
      <w:pPr>
        <w:rPr>
          <w:rFonts w:hint="default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Therefore, i</w:t>
      </w:r>
      <w:r>
        <w:t>nter-slot frequency hopping with inter-slot bundling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enable cross-slot channel estimation among repetitions per bundle should be supported.</w:t>
      </w:r>
    </w:p>
    <w:p>
      <w:pPr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6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I</w:t>
      </w:r>
      <w:r>
        <w:rPr>
          <w:i/>
          <w:iCs/>
        </w:rPr>
        <w:t>nter-slot frequency hopping with inter-slot bundling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to enable cross-slot channel estimation among repetitions per bundle is supported.</w:t>
      </w:r>
    </w:p>
    <w:p>
      <w:pPr>
        <w:rPr>
          <w:rFonts w:hint="eastAsia"/>
          <w:i w:val="0"/>
          <w:iCs w:val="0"/>
          <w:color w:val="auto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In our companion contribution [4], some other aspects for DMRS bundling for PUSCH are discussed, including how to determine the inter-slot bundling size and how to determine the inter-slot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bundling pattern for TDD operation</w:t>
      </w:r>
      <w:r>
        <w:rPr>
          <w:rFonts w:hint="eastAsia"/>
          <w:i w:val="0"/>
          <w:iCs w:val="0"/>
          <w:color w:val="auto"/>
          <w:lang w:val="en-US" w:eastAsia="zh-CN"/>
        </w:rPr>
        <w:t>. Given it has agreed that RAN1 shall s</w:t>
      </w:r>
      <w:r>
        <w:rPr>
          <w:rFonts w:ascii="Times New Roman" w:hAnsi="Times New Roman"/>
          <w:color w:val="000000"/>
          <w:szCs w:val="20"/>
        </w:rPr>
        <w:t>trive for common design for PUSCH/PUCCH with DMRS bundling as much</w:t>
      </w:r>
      <w:r>
        <w:rPr>
          <w:rFonts w:ascii="Times New Roman" w:hAnsi="Times New Roman"/>
          <w:szCs w:val="20"/>
        </w:rPr>
        <w:t xml:space="preserve"> as possible</w:t>
      </w:r>
      <w:r>
        <w:rPr>
          <w:rFonts w:hint="eastAsia"/>
          <w:szCs w:val="20"/>
          <w:lang w:val="en-US" w:eastAsia="zh-CN"/>
        </w:rPr>
        <w:t xml:space="preserve">, we prefer to further discuss the details for PUCCH after a better progress made for PUSCH. </w:t>
      </w:r>
      <w:r>
        <w:rPr>
          <w:rFonts w:hint="eastAsia"/>
          <w:i w:val="0"/>
          <w:iCs w:val="0"/>
          <w:color w:val="auto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7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RAN1 </w:t>
      </w:r>
      <w:r>
        <w:rPr>
          <w:rFonts w:hint="eastAsia"/>
          <w:i/>
          <w:iCs/>
          <w:szCs w:val="20"/>
          <w:lang w:val="en-US" w:eastAsia="zh-CN"/>
        </w:rPr>
        <w:t xml:space="preserve">further discusses the details for PUCCH after a better progress made for PUSCH regarding the following aspects. </w:t>
      </w:r>
    </w:p>
    <w:p>
      <w:pPr>
        <w:numPr>
          <w:ilvl w:val="0"/>
          <w:numId w:val="21"/>
        </w:numPr>
        <w:ind w:left="840" w:leftChars="0" w:hanging="420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Determination of the inter-slot bundling size. </w:t>
      </w:r>
    </w:p>
    <w:p>
      <w:pPr>
        <w:numPr>
          <w:ilvl w:val="0"/>
          <w:numId w:val="21"/>
        </w:numPr>
        <w:ind w:left="840" w:leftChars="0" w:hanging="420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Determination of the inter-slot </w:t>
      </w:r>
      <w:r>
        <w:rPr>
          <w:rFonts w:hint="eastAsia"/>
          <w:b w:val="0"/>
          <w:bCs w:val="0"/>
          <w:i/>
          <w:iCs/>
          <w:lang w:val="en-US" w:eastAsia="zh-CN"/>
        </w:rPr>
        <w:t>bundling pattern for TDD operation.</w:t>
      </w:r>
    </w:p>
    <w:p>
      <w:pPr>
        <w:pStyle w:val="2"/>
        <w:tabs>
          <w:tab w:val="left" w:pos="432"/>
        </w:tabs>
        <w:spacing w:beforeLines="0" w:after="180" w:afterLines="50"/>
      </w:pPr>
      <w:r>
        <w:rPr>
          <w:rFonts w:hint="eastAsia"/>
        </w:rPr>
        <w:t>Conclusion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According to the analysis given above, we have the following </w:t>
      </w:r>
      <w:r>
        <w:rPr>
          <w:rFonts w:hint="eastAsia"/>
          <w:lang w:val="en-US" w:eastAsia="zh-CN"/>
        </w:rPr>
        <w:t xml:space="preserve">observations and </w:t>
      </w:r>
      <w:r>
        <w:rPr>
          <w:rFonts w:hint="eastAsia" w:eastAsia="宋体"/>
          <w:lang w:val="en-US" w:eastAsia="zh-CN"/>
        </w:rPr>
        <w:t>proposals:</w:t>
      </w:r>
    </w:p>
    <w:p>
      <w:pPr>
        <w:rPr>
          <w:rFonts w:hint="eastAsia"/>
          <w:b w:val="0"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>1: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 Dynamic PUCCH repetition indication is not supported for SR and SP/P-CSI PUCCH.</w:t>
      </w:r>
    </w:p>
    <w:p>
      <w:pPr>
        <w:rPr>
          <w:rFonts w:hint="default"/>
          <w:b w:val="0"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 xml:space="preserve">2: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Dynamic PUCCH repetition factor indicator is supported for PUCCH </w:t>
      </w:r>
      <w:r>
        <w:rPr>
          <w:rFonts w:hint="eastAsia"/>
          <w:b w:val="0"/>
          <w:bCs/>
          <w:i/>
          <w:iCs/>
          <w:lang w:val="en-US" w:eastAsia="zh-CN"/>
        </w:rPr>
        <w:t>with HARQ-ACK for SPS PDSCH</w:t>
      </w:r>
      <w:r>
        <w:rPr>
          <w:rFonts w:hint="eastAsia"/>
          <w:b w:val="0"/>
          <w:bCs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bookmarkStart w:id="3" w:name="_GoBack"/>
      <w:bookmarkEnd w:id="3"/>
      <w:r>
        <w:rPr>
          <w:rFonts w:hint="eastAsia" w:ascii="Times New Roman" w:hAnsi="Times New Roman" w:eastAsia="宋体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 w:val="0"/>
          <w:i/>
          <w:iCs w:val="0"/>
          <w:sz w:val="20"/>
          <w:szCs w:val="20"/>
          <w:lang w:val="en-US" w:eastAsia="zh-CN"/>
        </w:rPr>
        <w:t>3</w:t>
      </w:r>
      <w:r>
        <w:rPr>
          <w:rFonts w:hint="eastAsia"/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Dynamic PUCCH repetition factor can be achieved by configuring the repetition factor per PUCCH resource which can be dynamically indicated by PRI. </w:t>
      </w:r>
    </w:p>
    <w:p>
      <w:pPr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- a new IE indicating the PUCCH repetition factor in added to </w:t>
      </w:r>
      <w:r>
        <w:rPr>
          <w:rFonts w:hint="default"/>
          <w:b w:val="0"/>
          <w:bCs w:val="0"/>
          <w:i/>
          <w:iCs/>
          <w:lang w:val="en-US" w:eastAsia="zh-CN"/>
        </w:rPr>
        <w:t>“</w:t>
      </w:r>
      <w:r>
        <w:rPr>
          <w:rFonts w:hint="eastAsia"/>
          <w:b w:val="0"/>
          <w:bCs w:val="0"/>
          <w:i/>
          <w:iCs/>
          <w:lang w:val="en-US" w:eastAsia="zh-CN"/>
        </w:rPr>
        <w:t>PUCCH-Resource</w:t>
      </w:r>
      <w:r>
        <w:rPr>
          <w:rFonts w:hint="default"/>
          <w:b w:val="0"/>
          <w:bCs w:val="0"/>
          <w:i/>
          <w:iCs/>
          <w:lang w:val="en-US" w:eastAsia="zh-CN"/>
        </w:rPr>
        <w:t>”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</w:p>
    <w:p>
      <w:pPr>
        <w:rPr>
          <w:rFonts w:hint="eastAsia"/>
          <w:b w:val="0"/>
          <w:bCs w:val="0"/>
          <w:i/>
          <w:iCs/>
          <w:color w:val="auto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Decide </w:t>
      </w:r>
      <w:r>
        <w:rPr>
          <w:rFonts w:hint="eastAsia"/>
          <w:b w:val="0"/>
          <w:bCs w:val="0"/>
          <w:i/>
          <w:iCs/>
          <w:color w:val="auto"/>
          <w:highlight w:val="none"/>
          <w:lang w:val="en-US" w:eastAsia="zh-CN"/>
        </w:rPr>
        <w:t>whether to support Use case 4b/5a/5b for PUCCH repetitions depending on RAN4 further decision.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5: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Specify a time domain window for PUCCH repetition.</w:t>
      </w:r>
    </w:p>
    <w:p>
      <w:pPr>
        <w:numPr>
          <w:ilvl w:val="0"/>
          <w:numId w:val="14"/>
        </w:numPr>
        <w:ind w:left="840" w:hanging="420"/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 A UE reports a same time domain window size for PUSCH and PUCCH.</w:t>
      </w:r>
    </w:p>
    <w:p>
      <w:pPr>
        <w:numPr>
          <w:ilvl w:val="0"/>
          <w:numId w:val="14"/>
        </w:numPr>
        <w:ind w:left="840" w:hanging="420"/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 xml:space="preserve"> gNB configures a same time domain window for PUSCH and PUCCH.</w:t>
      </w:r>
    </w:p>
    <w:p>
      <w:pPr>
        <w:numPr>
          <w:ilvl w:val="-1"/>
          <w:numId w:val="0"/>
        </w:numPr>
        <w:spacing w:before="0" w:beforeLines="-2147483648"/>
        <w:ind w:leftChars="0"/>
        <w:rPr>
          <w:rFonts w:hint="eastAsia"/>
          <w:i/>
          <w:iCs/>
          <w:lang w:val="en-US" w:eastAsia="zh-CN"/>
        </w:rPr>
      </w:pPr>
      <w:r>
        <w:rPr>
          <w:rFonts w:hint="eastAsia" w:ascii="Times" w:hAnsi="Times" w:cs="Times"/>
          <w:b/>
          <w:bCs/>
          <w:i/>
          <w:iCs/>
          <w:lang w:val="en-US" w:eastAsia="zh-CN"/>
        </w:rPr>
        <w:t>Observation 1</w:t>
      </w:r>
      <w:r>
        <w:rPr>
          <w:rFonts w:hint="eastAsia" w:ascii="Times" w:hAnsi="Times" w:cs="Times"/>
          <w:b w:val="0"/>
          <w:bCs w:val="0"/>
          <w:i/>
          <w:iCs/>
          <w:lang w:val="en-US" w:eastAsia="zh-CN"/>
        </w:rPr>
        <w:t>: F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or PUCCH with four repetitions, </w:t>
      </w:r>
      <w:r>
        <w:rPr>
          <w:rFonts w:hint="eastAsia"/>
          <w:i/>
          <w:iCs/>
          <w:lang w:val="en-US" w:eastAsia="zh-CN"/>
        </w:rPr>
        <w:t>enabling both inter-slot frequency hopping and DMRS bundling can provide 1 dB gain compared with inter-slot frequency hopping only or DMRS bundling only.</w:t>
      </w:r>
    </w:p>
    <w:p>
      <w:pPr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6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I</w:t>
      </w:r>
      <w:r>
        <w:rPr>
          <w:i/>
          <w:iCs/>
        </w:rPr>
        <w:t>nter-slot frequency hopping with inter-slot bundling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to enable cross-slot channel estimation among repetitions per bundle is supported.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7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RAN1 </w:t>
      </w:r>
      <w:r>
        <w:rPr>
          <w:rFonts w:hint="eastAsia"/>
          <w:i/>
          <w:iCs/>
          <w:szCs w:val="20"/>
          <w:lang w:val="en-US" w:eastAsia="zh-CN"/>
        </w:rPr>
        <w:t xml:space="preserve">further discusses the details for PUCCH after a better progress made for PUSCH regarding the following aspects. </w:t>
      </w:r>
    </w:p>
    <w:p>
      <w:pPr>
        <w:numPr>
          <w:ilvl w:val="0"/>
          <w:numId w:val="21"/>
        </w:numPr>
        <w:ind w:left="840" w:leftChars="0" w:hanging="420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Determination of the inter-slot bundling size. </w:t>
      </w:r>
    </w:p>
    <w:p>
      <w:pPr>
        <w:numPr>
          <w:ilvl w:val="0"/>
          <w:numId w:val="21"/>
        </w:numPr>
        <w:ind w:left="840" w:hanging="420"/>
      </w:pPr>
      <w:r>
        <w:rPr>
          <w:rFonts w:hint="eastAsia"/>
          <w:i/>
          <w:iCs/>
          <w:lang w:val="en-US" w:eastAsia="zh-CN"/>
        </w:rPr>
        <w:t xml:space="preserve">Determination of the inter-slot </w:t>
      </w:r>
      <w:r>
        <w:rPr>
          <w:rFonts w:hint="eastAsia"/>
          <w:b w:val="0"/>
          <w:bCs w:val="0"/>
          <w:i/>
          <w:iCs/>
          <w:lang w:val="en-US" w:eastAsia="zh-CN"/>
        </w:rPr>
        <w:t>bundling pattern for TDD operation.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15"/>
          <w:highlight w:val="none"/>
          <w:lang w:eastAsia="zh-CN"/>
        </w:rPr>
        <w:t>3GPP RAN#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9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 xml:space="preserve">e, 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eastAsia="zh-CN"/>
        </w:rPr>
        <w:t>RP-210855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b w:val="0"/>
          <w:szCs w:val="15"/>
          <w:highlight w:val="none"/>
          <w:lang w:eastAsia="zh-CN"/>
        </w:rPr>
        <w:t>Revised WID on NR coverage enhancements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eastAsia="zh-CN"/>
        </w:rPr>
        <w:t>China Telecom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.</w:t>
      </w:r>
    </w:p>
    <w:p>
      <w:pPr>
        <w:pStyle w:val="126"/>
        <w:rPr>
          <w:rFonts w:hint="eastAsia" w:cs="Times New Roman"/>
          <w:sz w:val="20"/>
          <w:szCs w:val="15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3GPP RA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 xml:space="preserve">N1#104b-e, </w:t>
      </w:r>
      <w:r>
        <w:rPr>
          <w:szCs w:val="15"/>
          <w:highlight w:val="none"/>
          <w:lang w:eastAsia="zh-CN"/>
        </w:rPr>
        <w:t>R1-2102298</w:t>
      </w:r>
      <w:r>
        <w:rPr>
          <w:rFonts w:hint="eastAsia"/>
          <w:szCs w:val="15"/>
          <w:highlight w:val="none"/>
          <w:lang w:val="en-US" w:eastAsia="zh-CN"/>
        </w:rPr>
        <w:t xml:space="preserve">, </w:t>
      </w:r>
      <w:r>
        <w:rPr>
          <w:rFonts w:ascii="Times New Roman" w:hAnsi="Times New Roman" w:cs="Times New Roman"/>
          <w:b w:val="0"/>
          <w:szCs w:val="15"/>
          <w:highlight w:val="none"/>
          <w:lang w:eastAsia="zh-CN"/>
        </w:rPr>
        <w:t>Reply on LS on PUCCH and PUSCH repetition</w:t>
      </w:r>
      <w:r>
        <w:rPr>
          <w:rFonts w:hint="default" w:cs="Times New Roman"/>
          <w:sz w:val="20"/>
          <w:szCs w:val="15"/>
          <w:highlight w:val="none"/>
          <w:lang w:val="en-US" w:eastAsia="zh-CN"/>
        </w:rPr>
        <w:t>, RAN4.</w:t>
      </w:r>
    </w:p>
    <w:p>
      <w:pPr>
        <w:pStyle w:val="126"/>
        <w:rPr>
          <w:sz w:val="21"/>
          <w:highlight w:val="none"/>
          <w:lang w:eastAsia="zh-CN"/>
        </w:rPr>
      </w:pP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3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GPP RAN4# 99-e, R4-2107881 WF on phase continuity and power consistency for PUCCH and PUSCH repetition</w:t>
      </w:r>
    </w:p>
    <w:p>
      <w:pPr>
        <w:pStyle w:val="126"/>
        <w:rPr>
          <w:sz w:val="21"/>
          <w:highlight w:val="none"/>
          <w:lang w:eastAsia="zh-CN"/>
        </w:rPr>
      </w:pP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3GPP RAN1#10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6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-e, R1-2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0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6741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Discussion on joint channel estimation for PUSCH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, ZTE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.</w:t>
      </w:r>
    </w:p>
    <w:p>
      <w:pPr>
        <w:pStyle w:val="2"/>
        <w:numPr>
          <w:ilvl w:val="-1"/>
          <w:numId w:val="0"/>
        </w:numPr>
        <w:ind w:left="0" w:firstLine="0"/>
        <w:jc w:val="both"/>
        <w:rPr>
          <w:szCs w:val="20"/>
          <w:lang w:eastAsia="zh-CN"/>
        </w:rPr>
      </w:pPr>
      <w:r>
        <w:rPr>
          <w:szCs w:val="22"/>
          <w:lang w:val="en-US" w:eastAsia="zh-CN"/>
        </w:rPr>
        <w:t>Appendix</w:t>
      </w:r>
    </w:p>
    <w:p>
      <w:pPr>
        <w:pStyle w:val="126"/>
        <w:numPr>
          <w:ilvl w:val="0"/>
          <w:numId w:val="0"/>
        </w:numPr>
        <w:jc w:val="center"/>
        <w:rPr>
          <w:rFonts w:hint="default"/>
          <w:szCs w:val="20"/>
          <w:lang w:val="en-US" w:eastAsia="zh-CN"/>
        </w:rPr>
      </w:pPr>
      <w:r>
        <w:rPr>
          <w:szCs w:val="20"/>
          <w:lang w:eastAsia="zh-CN"/>
        </w:rPr>
        <w:t>Table A-</w:t>
      </w:r>
      <w:r>
        <w:rPr>
          <w:rFonts w:hint="eastAsia"/>
          <w:szCs w:val="20"/>
          <w:lang w:val="en-US" w:eastAsia="zh-CN"/>
        </w:rPr>
        <w:t>1</w:t>
      </w:r>
      <w:r>
        <w:rPr>
          <w:szCs w:val="20"/>
          <w:lang w:eastAsia="zh-CN"/>
        </w:rPr>
        <w:t xml:space="preserve"> Simulation assumption for </w:t>
      </w:r>
      <w:r>
        <w:rPr>
          <w:rFonts w:hint="eastAsia"/>
          <w:szCs w:val="20"/>
          <w:lang w:val="en-US" w:eastAsia="zh-CN"/>
        </w:rPr>
        <w:t>DMRS bundling for PUCCH</w:t>
      </w:r>
    </w:p>
    <w:tbl>
      <w:tblPr>
        <w:tblStyle w:val="51"/>
        <w:tblW w:w="6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4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b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0"/>
                <w:lang w:eastAsia="zh-CN"/>
              </w:rPr>
              <w:t>Parameters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b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0"/>
                <w:lang w:eastAsia="zh-CN"/>
              </w:rPr>
              <w:t xml:space="preserve">Value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Carrier frequency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Channel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TDL-C , DS = 300ns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UE speed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3 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Antenna configuration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1Tx, 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Number of symbols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Number of RBs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Number of repetition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DMRS location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The 3</w:t>
            </w:r>
            <w:r>
              <w:rPr>
                <w:rFonts w:hint="default" w:ascii="Times New Roman" w:hAnsi="Times New Roman" w:cs="Times New Roman"/>
                <w:szCs w:val="20"/>
                <w:vertAlign w:val="superscript"/>
                <w:lang w:eastAsia="zh-CN"/>
              </w:rPr>
              <w:t>rd</w:t>
            </w: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 xml:space="preserve"> ,10</w:t>
            </w:r>
            <w:r>
              <w:rPr>
                <w:rFonts w:hint="default" w:ascii="Times New Roman" w:hAnsi="Times New Roman" w:cs="Times New Roman"/>
                <w:szCs w:val="20"/>
                <w:vertAlign w:val="superscript"/>
                <w:lang w:eastAsia="zh-CN"/>
              </w:rPr>
              <w:t>th</w:t>
            </w: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 xml:space="preserve"> symbol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Payload</w:t>
            </w:r>
          </w:p>
        </w:tc>
        <w:tc>
          <w:tcPr>
            <w:tcW w:w="4382" w:type="dxa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 xml:space="preserve"> 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  <w:vAlign w:val="top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ind w:left="0" w:leftChars="0" w:firstLine="0" w:firstLineChars="0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Metric</w:t>
            </w:r>
          </w:p>
        </w:tc>
        <w:tc>
          <w:tcPr>
            <w:tcW w:w="4382" w:type="dxa"/>
            <w:vAlign w:val="top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ind w:left="0" w:leftChars="0" w:firstLine="0" w:firstLineChars="0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1%</w:t>
            </w:r>
            <w:r>
              <w:rPr>
                <w:rFonts w:hint="eastAsia" w:cs="Times New Roman"/>
                <w:szCs w:val="20"/>
                <w:lang w:val="en-US" w:eastAsia="zh-CN"/>
              </w:rPr>
              <w:t xml:space="preserve">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0" w:type="dxa"/>
            <w:vAlign w:val="top"/>
          </w:tcPr>
          <w:p>
            <w:pPr>
              <w:pStyle w:val="126"/>
              <w:numPr>
                <w:ilvl w:val="0"/>
                <w:numId w:val="0"/>
              </w:numPr>
              <w:spacing w:before="120" w:line="280" w:lineRule="atLeast"/>
              <w:ind w:left="0" w:leftChars="0" w:firstLine="0" w:firstLineChars="0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t xml:space="preserve">Receiver </w:t>
            </w:r>
          </w:p>
        </w:tc>
        <w:tc>
          <w:tcPr>
            <w:tcW w:w="4382" w:type="dxa"/>
            <w:vAlign w:val="top"/>
          </w:tcPr>
          <w:p>
            <w:pPr>
              <w:spacing w:before="0" w:after="0" w:line="280" w:lineRule="atLeast"/>
              <w:jc w:val="left"/>
              <w:rPr>
                <w:rFonts w:hint="default" w:eastAsia="宋体"/>
                <w:lang w:val="en-US" w:eastAsia="zh-CN"/>
              </w:rPr>
            </w:pPr>
            <w:r>
              <w:t>Receiver for Rel-15/16 PUCCH: ML coherent receiver</w:t>
            </w:r>
            <w:r>
              <w:rPr>
                <w:rFonts w:hint="eastAsia"/>
                <w:lang w:val="en-US" w:eastAsia="zh-CN"/>
              </w:rPr>
              <w:t xml:space="preserve">, w/o </w:t>
            </w:r>
            <w:r>
              <w:rPr>
                <w:rFonts w:hint="eastAsia"/>
                <w:b w:val="0"/>
                <w:bCs w:val="0"/>
                <w:i w:val="0"/>
                <w:iCs w:val="0"/>
                <w:lang w:val="en-US" w:eastAsia="zh-CN"/>
              </w:rPr>
              <w:t>cross-slot channel estimation</w:t>
            </w:r>
          </w:p>
          <w:p>
            <w:pPr>
              <w:spacing w:before="0" w:after="0" w:line="280" w:lineRule="atLeast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Receiver for PUCCH enhancement scheme: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ML</w:t>
            </w:r>
            <w:r>
              <w:t xml:space="preserve"> coherent receiver</w:t>
            </w:r>
            <w:r>
              <w:rPr>
                <w:rFonts w:hint="eastAsia"/>
                <w:lang w:val="en-US" w:eastAsia="zh-CN"/>
              </w:rPr>
              <w:t xml:space="preserve">, w/ </w:t>
            </w:r>
            <w:r>
              <w:rPr>
                <w:rFonts w:hint="eastAsia"/>
                <w:b w:val="0"/>
                <w:bCs w:val="0"/>
                <w:i w:val="0"/>
                <w:iCs w:val="0"/>
                <w:lang w:val="en-US" w:eastAsia="zh-CN"/>
              </w:rPr>
              <w:t>cross-slot channel estimation</w:t>
            </w:r>
          </w:p>
        </w:tc>
      </w:tr>
    </w:tbl>
    <w:p>
      <w:pPr>
        <w:rPr>
          <w:szCs w:val="22"/>
          <w:lang w:val="en-US" w:eastAsia="zh-CN"/>
        </w:rPr>
      </w:pPr>
    </w:p>
    <w:p>
      <w:pPr>
        <w:rPr>
          <w:szCs w:val="22"/>
          <w:lang w:val="en-US"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n-c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7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2642C1"/>
    <w:multiLevelType w:val="singleLevel"/>
    <w:tmpl w:val="B62642C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75CB80C"/>
    <w:multiLevelType w:val="singleLevel"/>
    <w:tmpl w:val="B75CB80C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C33B3E40"/>
    <w:multiLevelType w:val="singleLevel"/>
    <w:tmpl w:val="C33B3E4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">
    <w:nsid w:val="DAAFB634"/>
    <w:multiLevelType w:val="singleLevel"/>
    <w:tmpl w:val="DAAFB634"/>
    <w:lvl w:ilvl="0" w:tentative="0">
      <w:start w:val="1"/>
      <w:numFmt w:val="lowerLetter"/>
      <w:suff w:val="space"/>
      <w:lvlText w:val="(%1)"/>
      <w:lvlJc w:val="left"/>
    </w:lvl>
  </w:abstractNum>
  <w:abstractNum w:abstractNumId="4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5">
    <w:nsid w:val="0C507ABC"/>
    <w:multiLevelType w:val="multilevel"/>
    <w:tmpl w:val="0C507ABC"/>
    <w:lvl w:ilvl="0" w:tentative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0D67560A"/>
    <w:multiLevelType w:val="multilevel"/>
    <w:tmpl w:val="0D67560A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00B0973"/>
    <w:multiLevelType w:val="singleLevel"/>
    <w:tmpl w:val="200B097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24EA704E"/>
    <w:multiLevelType w:val="multilevel"/>
    <w:tmpl w:val="24EA704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A65E5BA"/>
    <w:multiLevelType w:val="singleLevel"/>
    <w:tmpl w:val="2A65E5B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0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417C7EA7"/>
    <w:multiLevelType w:val="multilevel"/>
    <w:tmpl w:val="417C7EA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2ED5209"/>
    <w:multiLevelType w:val="multilevel"/>
    <w:tmpl w:val="42ED520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737240"/>
    <w:multiLevelType w:val="singleLevel"/>
    <w:tmpl w:val="657372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7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AB1FE03"/>
    <w:multiLevelType w:val="singleLevel"/>
    <w:tmpl w:val="7AB1FE03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0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12"/>
  </w:num>
  <w:num w:numId="5">
    <w:abstractNumId w:val="20"/>
  </w:num>
  <w:num w:numId="6">
    <w:abstractNumId w:val="15"/>
  </w:num>
  <w:num w:numId="7">
    <w:abstractNumId w:val="11"/>
  </w:num>
  <w:num w:numId="8">
    <w:abstractNumId w:val="18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  <w:num w:numId="13">
    <w:abstractNumId w:val="14"/>
  </w:num>
  <w:num w:numId="14">
    <w:abstractNumId w:val="2"/>
  </w:num>
  <w:num w:numId="15">
    <w:abstractNumId w:val="13"/>
  </w:num>
  <w:num w:numId="16">
    <w:abstractNumId w:val="0"/>
  </w:num>
  <w:num w:numId="17">
    <w:abstractNumId w:val="16"/>
  </w:num>
  <w:num w:numId="18">
    <w:abstractNumId w:val="3"/>
  </w:num>
  <w:num w:numId="19">
    <w:abstractNumId w:val="7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B0C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35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8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583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7D6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E87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382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6BA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C60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4640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60A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6E9A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2AA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899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6E8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5F0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2D6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76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D8A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DD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69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5A4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418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69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D08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D1E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E70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0CF8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227BC"/>
    <w:rsid w:val="012361AD"/>
    <w:rsid w:val="013E6BC5"/>
    <w:rsid w:val="013F7A03"/>
    <w:rsid w:val="016402CE"/>
    <w:rsid w:val="01BE193F"/>
    <w:rsid w:val="01E128CE"/>
    <w:rsid w:val="01EB3A92"/>
    <w:rsid w:val="020C405F"/>
    <w:rsid w:val="022C23C4"/>
    <w:rsid w:val="02737E73"/>
    <w:rsid w:val="02811D65"/>
    <w:rsid w:val="0284643E"/>
    <w:rsid w:val="02E51F96"/>
    <w:rsid w:val="03023110"/>
    <w:rsid w:val="030E2866"/>
    <w:rsid w:val="032E73B7"/>
    <w:rsid w:val="033F75FF"/>
    <w:rsid w:val="03532C3F"/>
    <w:rsid w:val="035F79EB"/>
    <w:rsid w:val="036A2B26"/>
    <w:rsid w:val="03B25C4C"/>
    <w:rsid w:val="03BA7570"/>
    <w:rsid w:val="03BF2AA2"/>
    <w:rsid w:val="03D12146"/>
    <w:rsid w:val="03D24EAD"/>
    <w:rsid w:val="03F94E83"/>
    <w:rsid w:val="03FC4856"/>
    <w:rsid w:val="041C778B"/>
    <w:rsid w:val="047E59D0"/>
    <w:rsid w:val="048B7799"/>
    <w:rsid w:val="048F11FF"/>
    <w:rsid w:val="04B72387"/>
    <w:rsid w:val="04CE326B"/>
    <w:rsid w:val="04E97242"/>
    <w:rsid w:val="050D4324"/>
    <w:rsid w:val="06045E70"/>
    <w:rsid w:val="060A4922"/>
    <w:rsid w:val="06360315"/>
    <w:rsid w:val="064A2945"/>
    <w:rsid w:val="067D4C1C"/>
    <w:rsid w:val="0684639F"/>
    <w:rsid w:val="069A1D58"/>
    <w:rsid w:val="06B127E5"/>
    <w:rsid w:val="0705530E"/>
    <w:rsid w:val="07067712"/>
    <w:rsid w:val="070E2577"/>
    <w:rsid w:val="072F2729"/>
    <w:rsid w:val="07672002"/>
    <w:rsid w:val="077215CC"/>
    <w:rsid w:val="07722C34"/>
    <w:rsid w:val="077E7782"/>
    <w:rsid w:val="078F6F15"/>
    <w:rsid w:val="07B35775"/>
    <w:rsid w:val="07BC556B"/>
    <w:rsid w:val="07C21FA9"/>
    <w:rsid w:val="07D06D7A"/>
    <w:rsid w:val="07DD5AB3"/>
    <w:rsid w:val="0806628E"/>
    <w:rsid w:val="08476CF8"/>
    <w:rsid w:val="08891F5A"/>
    <w:rsid w:val="088D57DF"/>
    <w:rsid w:val="089431D6"/>
    <w:rsid w:val="089C07CB"/>
    <w:rsid w:val="08A871B9"/>
    <w:rsid w:val="08AF2FB2"/>
    <w:rsid w:val="08CA7E42"/>
    <w:rsid w:val="08FC7F80"/>
    <w:rsid w:val="09192F85"/>
    <w:rsid w:val="092A0C39"/>
    <w:rsid w:val="0957797D"/>
    <w:rsid w:val="096B6A5A"/>
    <w:rsid w:val="0970665B"/>
    <w:rsid w:val="0972706B"/>
    <w:rsid w:val="09860267"/>
    <w:rsid w:val="098678CD"/>
    <w:rsid w:val="09A342F4"/>
    <w:rsid w:val="09C21BB6"/>
    <w:rsid w:val="09D32A35"/>
    <w:rsid w:val="0A046E11"/>
    <w:rsid w:val="0A6421DA"/>
    <w:rsid w:val="0AF047C0"/>
    <w:rsid w:val="0AF35168"/>
    <w:rsid w:val="0AFC60B7"/>
    <w:rsid w:val="0B6F6E61"/>
    <w:rsid w:val="0B782ACA"/>
    <w:rsid w:val="0B820D65"/>
    <w:rsid w:val="0BAD56E4"/>
    <w:rsid w:val="0BAD7041"/>
    <w:rsid w:val="0BB27D4D"/>
    <w:rsid w:val="0BE60BB4"/>
    <w:rsid w:val="0C1551CE"/>
    <w:rsid w:val="0C1B4F3E"/>
    <w:rsid w:val="0C56233F"/>
    <w:rsid w:val="0C5E6B54"/>
    <w:rsid w:val="0C5E7AD8"/>
    <w:rsid w:val="0C6F5654"/>
    <w:rsid w:val="0CB77457"/>
    <w:rsid w:val="0CE37C3D"/>
    <w:rsid w:val="0CF12AEA"/>
    <w:rsid w:val="0D132BA9"/>
    <w:rsid w:val="0D3F2103"/>
    <w:rsid w:val="0D660AC2"/>
    <w:rsid w:val="0D672BF6"/>
    <w:rsid w:val="0DC10615"/>
    <w:rsid w:val="0DCE068D"/>
    <w:rsid w:val="0DD27B54"/>
    <w:rsid w:val="0DDC43A1"/>
    <w:rsid w:val="0DE97459"/>
    <w:rsid w:val="0E120AD5"/>
    <w:rsid w:val="0E3667BF"/>
    <w:rsid w:val="0E3754E8"/>
    <w:rsid w:val="0E862C51"/>
    <w:rsid w:val="0E8B6E13"/>
    <w:rsid w:val="0E933444"/>
    <w:rsid w:val="0E9565F9"/>
    <w:rsid w:val="0E9A4B90"/>
    <w:rsid w:val="0EB06FFE"/>
    <w:rsid w:val="0EBA2370"/>
    <w:rsid w:val="0EF57D78"/>
    <w:rsid w:val="0F0A50A1"/>
    <w:rsid w:val="0F1D01AC"/>
    <w:rsid w:val="0F26446A"/>
    <w:rsid w:val="0F2A272E"/>
    <w:rsid w:val="0F973CB6"/>
    <w:rsid w:val="0FC166A9"/>
    <w:rsid w:val="10150A41"/>
    <w:rsid w:val="101828E5"/>
    <w:rsid w:val="101B366C"/>
    <w:rsid w:val="102511F1"/>
    <w:rsid w:val="102D15F4"/>
    <w:rsid w:val="10587DFC"/>
    <w:rsid w:val="106C5DDE"/>
    <w:rsid w:val="10BE60B3"/>
    <w:rsid w:val="10D80AE3"/>
    <w:rsid w:val="11087971"/>
    <w:rsid w:val="1121344E"/>
    <w:rsid w:val="114A6FA3"/>
    <w:rsid w:val="1153018C"/>
    <w:rsid w:val="11653C6F"/>
    <w:rsid w:val="117E25DB"/>
    <w:rsid w:val="119E7BB2"/>
    <w:rsid w:val="11B66480"/>
    <w:rsid w:val="11BD3A27"/>
    <w:rsid w:val="12133AE1"/>
    <w:rsid w:val="121F3BF7"/>
    <w:rsid w:val="125674A8"/>
    <w:rsid w:val="1257267A"/>
    <w:rsid w:val="12A472D8"/>
    <w:rsid w:val="12B24702"/>
    <w:rsid w:val="12B47087"/>
    <w:rsid w:val="12DE4561"/>
    <w:rsid w:val="12FE321B"/>
    <w:rsid w:val="130859B8"/>
    <w:rsid w:val="13274C76"/>
    <w:rsid w:val="135349F3"/>
    <w:rsid w:val="1380021A"/>
    <w:rsid w:val="139C6F06"/>
    <w:rsid w:val="13E50D3B"/>
    <w:rsid w:val="14054947"/>
    <w:rsid w:val="141F2191"/>
    <w:rsid w:val="14380455"/>
    <w:rsid w:val="14970691"/>
    <w:rsid w:val="149920A7"/>
    <w:rsid w:val="14EE206F"/>
    <w:rsid w:val="14F90202"/>
    <w:rsid w:val="1575AEB2"/>
    <w:rsid w:val="1579497C"/>
    <w:rsid w:val="15824EE1"/>
    <w:rsid w:val="15CC20E6"/>
    <w:rsid w:val="15EE136C"/>
    <w:rsid w:val="162C0344"/>
    <w:rsid w:val="162E3333"/>
    <w:rsid w:val="164F7F6D"/>
    <w:rsid w:val="165D61C4"/>
    <w:rsid w:val="165E068A"/>
    <w:rsid w:val="16641C2C"/>
    <w:rsid w:val="169373BC"/>
    <w:rsid w:val="16CC793B"/>
    <w:rsid w:val="16F003E9"/>
    <w:rsid w:val="1702D3F2"/>
    <w:rsid w:val="17214315"/>
    <w:rsid w:val="174E0935"/>
    <w:rsid w:val="176F640A"/>
    <w:rsid w:val="17BD5E6C"/>
    <w:rsid w:val="17FD283B"/>
    <w:rsid w:val="180B054C"/>
    <w:rsid w:val="181B0B92"/>
    <w:rsid w:val="184669DE"/>
    <w:rsid w:val="188D2058"/>
    <w:rsid w:val="18BA7603"/>
    <w:rsid w:val="18CB6C82"/>
    <w:rsid w:val="18FD3F86"/>
    <w:rsid w:val="190769D0"/>
    <w:rsid w:val="192000D8"/>
    <w:rsid w:val="192B740B"/>
    <w:rsid w:val="19481FB4"/>
    <w:rsid w:val="19654572"/>
    <w:rsid w:val="19CF5864"/>
    <w:rsid w:val="19E368B0"/>
    <w:rsid w:val="1A1C5725"/>
    <w:rsid w:val="1A514204"/>
    <w:rsid w:val="1ADF5685"/>
    <w:rsid w:val="1B2E6DC7"/>
    <w:rsid w:val="1B4E3AF0"/>
    <w:rsid w:val="1B5316CE"/>
    <w:rsid w:val="1B5E59D2"/>
    <w:rsid w:val="1B7022F5"/>
    <w:rsid w:val="1B9F7ADA"/>
    <w:rsid w:val="1BBB3A87"/>
    <w:rsid w:val="1BDC2DFC"/>
    <w:rsid w:val="1BE00C7F"/>
    <w:rsid w:val="1BEE65B3"/>
    <w:rsid w:val="1C2168C5"/>
    <w:rsid w:val="1C766428"/>
    <w:rsid w:val="1C921230"/>
    <w:rsid w:val="1CA90658"/>
    <w:rsid w:val="1CA938DC"/>
    <w:rsid w:val="1CB626A2"/>
    <w:rsid w:val="1CC02EEB"/>
    <w:rsid w:val="1D2355A7"/>
    <w:rsid w:val="1D2E2B06"/>
    <w:rsid w:val="1D3D6246"/>
    <w:rsid w:val="1D465FAC"/>
    <w:rsid w:val="1D833CB2"/>
    <w:rsid w:val="1DC50356"/>
    <w:rsid w:val="1DD50930"/>
    <w:rsid w:val="1DF407BB"/>
    <w:rsid w:val="1E38003B"/>
    <w:rsid w:val="1E423F25"/>
    <w:rsid w:val="1EA41854"/>
    <w:rsid w:val="1EB815C1"/>
    <w:rsid w:val="1F1539CB"/>
    <w:rsid w:val="1F1F0C6A"/>
    <w:rsid w:val="1F391D93"/>
    <w:rsid w:val="1F850095"/>
    <w:rsid w:val="1FB91CD0"/>
    <w:rsid w:val="1FD774FC"/>
    <w:rsid w:val="1FEB5923"/>
    <w:rsid w:val="2013006C"/>
    <w:rsid w:val="20151D0E"/>
    <w:rsid w:val="20275F86"/>
    <w:rsid w:val="202D1918"/>
    <w:rsid w:val="208D0F4F"/>
    <w:rsid w:val="20910CB1"/>
    <w:rsid w:val="20BA2550"/>
    <w:rsid w:val="20CD42FE"/>
    <w:rsid w:val="20E65374"/>
    <w:rsid w:val="20F97356"/>
    <w:rsid w:val="21035A99"/>
    <w:rsid w:val="21282288"/>
    <w:rsid w:val="219C725B"/>
    <w:rsid w:val="21B15D7D"/>
    <w:rsid w:val="222F59A7"/>
    <w:rsid w:val="227C2816"/>
    <w:rsid w:val="22C22FF5"/>
    <w:rsid w:val="22F03980"/>
    <w:rsid w:val="22FE2795"/>
    <w:rsid w:val="231820FA"/>
    <w:rsid w:val="231E4B98"/>
    <w:rsid w:val="232D30A1"/>
    <w:rsid w:val="23680C07"/>
    <w:rsid w:val="236959BD"/>
    <w:rsid w:val="23721478"/>
    <w:rsid w:val="237D76FD"/>
    <w:rsid w:val="238B15F3"/>
    <w:rsid w:val="23953367"/>
    <w:rsid w:val="239E142D"/>
    <w:rsid w:val="23AF4C77"/>
    <w:rsid w:val="23BD1EF4"/>
    <w:rsid w:val="23D61A36"/>
    <w:rsid w:val="23F72058"/>
    <w:rsid w:val="245870DE"/>
    <w:rsid w:val="247247A7"/>
    <w:rsid w:val="2473146A"/>
    <w:rsid w:val="24990B16"/>
    <w:rsid w:val="24D0128B"/>
    <w:rsid w:val="24D15547"/>
    <w:rsid w:val="250D040C"/>
    <w:rsid w:val="25374CC5"/>
    <w:rsid w:val="2560279C"/>
    <w:rsid w:val="25810293"/>
    <w:rsid w:val="25CE3970"/>
    <w:rsid w:val="25F176BC"/>
    <w:rsid w:val="26152CC2"/>
    <w:rsid w:val="26166BCB"/>
    <w:rsid w:val="26230FC6"/>
    <w:rsid w:val="26276462"/>
    <w:rsid w:val="264D17ED"/>
    <w:rsid w:val="26641091"/>
    <w:rsid w:val="267C010D"/>
    <w:rsid w:val="2699066B"/>
    <w:rsid w:val="26B97492"/>
    <w:rsid w:val="26EE7123"/>
    <w:rsid w:val="26F60EF2"/>
    <w:rsid w:val="272C1CCE"/>
    <w:rsid w:val="27323917"/>
    <w:rsid w:val="275640D0"/>
    <w:rsid w:val="275C6E61"/>
    <w:rsid w:val="27864A32"/>
    <w:rsid w:val="278802E4"/>
    <w:rsid w:val="27C5366D"/>
    <w:rsid w:val="27DD67CA"/>
    <w:rsid w:val="27F26DB2"/>
    <w:rsid w:val="283F5B39"/>
    <w:rsid w:val="28690808"/>
    <w:rsid w:val="289A4A41"/>
    <w:rsid w:val="28B07E55"/>
    <w:rsid w:val="28B54AA2"/>
    <w:rsid w:val="28C77C30"/>
    <w:rsid w:val="28C906F0"/>
    <w:rsid w:val="28CF283D"/>
    <w:rsid w:val="28E80A81"/>
    <w:rsid w:val="290D04CF"/>
    <w:rsid w:val="292B2791"/>
    <w:rsid w:val="292F35B8"/>
    <w:rsid w:val="29314228"/>
    <w:rsid w:val="295A76BB"/>
    <w:rsid w:val="295F286D"/>
    <w:rsid w:val="29613919"/>
    <w:rsid w:val="297F342E"/>
    <w:rsid w:val="2A0F0B23"/>
    <w:rsid w:val="2A71440E"/>
    <w:rsid w:val="2A893D90"/>
    <w:rsid w:val="2A932738"/>
    <w:rsid w:val="2A9A305C"/>
    <w:rsid w:val="2A9D552B"/>
    <w:rsid w:val="2ACB1712"/>
    <w:rsid w:val="2AFE2B7E"/>
    <w:rsid w:val="2AFE5A05"/>
    <w:rsid w:val="2B1A73FE"/>
    <w:rsid w:val="2B26248E"/>
    <w:rsid w:val="2B3F1C6E"/>
    <w:rsid w:val="2B527EC9"/>
    <w:rsid w:val="2B8E152F"/>
    <w:rsid w:val="2BB25377"/>
    <w:rsid w:val="2BDF29BF"/>
    <w:rsid w:val="2BE142ED"/>
    <w:rsid w:val="2BF45833"/>
    <w:rsid w:val="2C4B4907"/>
    <w:rsid w:val="2CB23183"/>
    <w:rsid w:val="2CF04E98"/>
    <w:rsid w:val="2D08042B"/>
    <w:rsid w:val="2D1E6BA5"/>
    <w:rsid w:val="2D376513"/>
    <w:rsid w:val="2D3F2C8E"/>
    <w:rsid w:val="2D470923"/>
    <w:rsid w:val="2D99320B"/>
    <w:rsid w:val="2DC863F1"/>
    <w:rsid w:val="2DFB41DC"/>
    <w:rsid w:val="2E350033"/>
    <w:rsid w:val="2E5F4D48"/>
    <w:rsid w:val="2E6D6806"/>
    <w:rsid w:val="2E744F06"/>
    <w:rsid w:val="2E930D3B"/>
    <w:rsid w:val="2EB72406"/>
    <w:rsid w:val="2F077495"/>
    <w:rsid w:val="2F2367DE"/>
    <w:rsid w:val="2FD27D5B"/>
    <w:rsid w:val="2FDF41BB"/>
    <w:rsid w:val="2FE334E4"/>
    <w:rsid w:val="2FF027C2"/>
    <w:rsid w:val="2FF91044"/>
    <w:rsid w:val="3055096E"/>
    <w:rsid w:val="30FB19DC"/>
    <w:rsid w:val="3107240D"/>
    <w:rsid w:val="31542D3B"/>
    <w:rsid w:val="315E3DF0"/>
    <w:rsid w:val="3166748C"/>
    <w:rsid w:val="31900E67"/>
    <w:rsid w:val="31F178E6"/>
    <w:rsid w:val="322B2AAE"/>
    <w:rsid w:val="32303C08"/>
    <w:rsid w:val="324568C8"/>
    <w:rsid w:val="324F2751"/>
    <w:rsid w:val="32832752"/>
    <w:rsid w:val="32F07DB7"/>
    <w:rsid w:val="32FE23BF"/>
    <w:rsid w:val="330E6893"/>
    <w:rsid w:val="33DE0CB9"/>
    <w:rsid w:val="33EC1A91"/>
    <w:rsid w:val="33FB7AC8"/>
    <w:rsid w:val="344277BC"/>
    <w:rsid w:val="344B7BCD"/>
    <w:rsid w:val="344F7A97"/>
    <w:rsid w:val="34586101"/>
    <w:rsid w:val="34592E2A"/>
    <w:rsid w:val="34680CAF"/>
    <w:rsid w:val="347744AE"/>
    <w:rsid w:val="34875741"/>
    <w:rsid w:val="34AB7E73"/>
    <w:rsid w:val="34BE62B2"/>
    <w:rsid w:val="34CC2CE0"/>
    <w:rsid w:val="3511129D"/>
    <w:rsid w:val="356A1C6B"/>
    <w:rsid w:val="35742CCA"/>
    <w:rsid w:val="35911F22"/>
    <w:rsid w:val="359455FE"/>
    <w:rsid w:val="35E37771"/>
    <w:rsid w:val="35ED7164"/>
    <w:rsid w:val="35EF263E"/>
    <w:rsid w:val="36091FD3"/>
    <w:rsid w:val="36714B62"/>
    <w:rsid w:val="36A475E9"/>
    <w:rsid w:val="36B43102"/>
    <w:rsid w:val="36BE3BF9"/>
    <w:rsid w:val="36CD07B0"/>
    <w:rsid w:val="372201DB"/>
    <w:rsid w:val="373242C4"/>
    <w:rsid w:val="37340EF6"/>
    <w:rsid w:val="373E20CB"/>
    <w:rsid w:val="375C57D7"/>
    <w:rsid w:val="37815E8C"/>
    <w:rsid w:val="37913DB0"/>
    <w:rsid w:val="37DD651E"/>
    <w:rsid w:val="381A51F4"/>
    <w:rsid w:val="386C5C36"/>
    <w:rsid w:val="3898383D"/>
    <w:rsid w:val="389C5F38"/>
    <w:rsid w:val="38BA113F"/>
    <w:rsid w:val="38E60A4D"/>
    <w:rsid w:val="38EB15AB"/>
    <w:rsid w:val="39035A2D"/>
    <w:rsid w:val="391B4947"/>
    <w:rsid w:val="39205BF2"/>
    <w:rsid w:val="3923072C"/>
    <w:rsid w:val="39362F4F"/>
    <w:rsid w:val="397347DF"/>
    <w:rsid w:val="398926F9"/>
    <w:rsid w:val="39BB105A"/>
    <w:rsid w:val="39C756F3"/>
    <w:rsid w:val="39CB2B39"/>
    <w:rsid w:val="39ED0B9E"/>
    <w:rsid w:val="3A135075"/>
    <w:rsid w:val="3A3143C7"/>
    <w:rsid w:val="3A4B478B"/>
    <w:rsid w:val="3A8424B5"/>
    <w:rsid w:val="3A9A43F1"/>
    <w:rsid w:val="3AA12DFF"/>
    <w:rsid w:val="3AB31D0C"/>
    <w:rsid w:val="3AD06FB7"/>
    <w:rsid w:val="3B0E5515"/>
    <w:rsid w:val="3B124A67"/>
    <w:rsid w:val="3B380971"/>
    <w:rsid w:val="3B3E48C1"/>
    <w:rsid w:val="3B4A3B53"/>
    <w:rsid w:val="3BD034C7"/>
    <w:rsid w:val="3BDA3DBC"/>
    <w:rsid w:val="3C2D3B81"/>
    <w:rsid w:val="3C5B7305"/>
    <w:rsid w:val="3C923082"/>
    <w:rsid w:val="3C9C5F6F"/>
    <w:rsid w:val="3CA13237"/>
    <w:rsid w:val="3CE4238B"/>
    <w:rsid w:val="3CF61444"/>
    <w:rsid w:val="3D0354C7"/>
    <w:rsid w:val="3D6D132D"/>
    <w:rsid w:val="3D7359C7"/>
    <w:rsid w:val="3D7642C9"/>
    <w:rsid w:val="3DC236A2"/>
    <w:rsid w:val="3DDA6D42"/>
    <w:rsid w:val="3DFA6BAD"/>
    <w:rsid w:val="3DFD0881"/>
    <w:rsid w:val="3DFF13D1"/>
    <w:rsid w:val="3E055E2F"/>
    <w:rsid w:val="3E3A7708"/>
    <w:rsid w:val="3E4B5225"/>
    <w:rsid w:val="3E5175F0"/>
    <w:rsid w:val="3E644A3A"/>
    <w:rsid w:val="3E7347F4"/>
    <w:rsid w:val="3E746699"/>
    <w:rsid w:val="3E774E9F"/>
    <w:rsid w:val="3E961633"/>
    <w:rsid w:val="3ED5386B"/>
    <w:rsid w:val="3EDF3E93"/>
    <w:rsid w:val="3EE04EC0"/>
    <w:rsid w:val="3EF83C43"/>
    <w:rsid w:val="3F01664D"/>
    <w:rsid w:val="3F03359F"/>
    <w:rsid w:val="3F175FC8"/>
    <w:rsid w:val="3F2F2593"/>
    <w:rsid w:val="3F995284"/>
    <w:rsid w:val="3FA50BAC"/>
    <w:rsid w:val="3FB23215"/>
    <w:rsid w:val="3FD010A5"/>
    <w:rsid w:val="3FD26C28"/>
    <w:rsid w:val="40100E61"/>
    <w:rsid w:val="402327C5"/>
    <w:rsid w:val="40727205"/>
    <w:rsid w:val="407868C4"/>
    <w:rsid w:val="40850DCD"/>
    <w:rsid w:val="40BF4202"/>
    <w:rsid w:val="415977FB"/>
    <w:rsid w:val="416C2BE5"/>
    <w:rsid w:val="419532ED"/>
    <w:rsid w:val="41AC1D9C"/>
    <w:rsid w:val="41AD7958"/>
    <w:rsid w:val="41BC3617"/>
    <w:rsid w:val="41FE5092"/>
    <w:rsid w:val="4242619A"/>
    <w:rsid w:val="424F6EDD"/>
    <w:rsid w:val="426F7D63"/>
    <w:rsid w:val="42AA718E"/>
    <w:rsid w:val="42B20782"/>
    <w:rsid w:val="42DF035B"/>
    <w:rsid w:val="430A6BB3"/>
    <w:rsid w:val="431516B3"/>
    <w:rsid w:val="43344416"/>
    <w:rsid w:val="439025C6"/>
    <w:rsid w:val="43F836B2"/>
    <w:rsid w:val="443226DE"/>
    <w:rsid w:val="443B09CA"/>
    <w:rsid w:val="445C7384"/>
    <w:rsid w:val="447177A7"/>
    <w:rsid w:val="44735EF4"/>
    <w:rsid w:val="44824CFA"/>
    <w:rsid w:val="44917C93"/>
    <w:rsid w:val="44D23A7C"/>
    <w:rsid w:val="45021BC2"/>
    <w:rsid w:val="453034AA"/>
    <w:rsid w:val="454D250B"/>
    <w:rsid w:val="45BF4853"/>
    <w:rsid w:val="45EF2B74"/>
    <w:rsid w:val="46136785"/>
    <w:rsid w:val="46141491"/>
    <w:rsid w:val="462E578F"/>
    <w:rsid w:val="46487CC3"/>
    <w:rsid w:val="46821D20"/>
    <w:rsid w:val="46D41E44"/>
    <w:rsid w:val="472D41FA"/>
    <w:rsid w:val="479A09A1"/>
    <w:rsid w:val="47A62253"/>
    <w:rsid w:val="47AE2F53"/>
    <w:rsid w:val="48202D76"/>
    <w:rsid w:val="485422FE"/>
    <w:rsid w:val="488A4398"/>
    <w:rsid w:val="48B55179"/>
    <w:rsid w:val="49055444"/>
    <w:rsid w:val="49216A6A"/>
    <w:rsid w:val="492C519E"/>
    <w:rsid w:val="49502142"/>
    <w:rsid w:val="496938E0"/>
    <w:rsid w:val="496B37C1"/>
    <w:rsid w:val="49882B35"/>
    <w:rsid w:val="49C44B33"/>
    <w:rsid w:val="49E62070"/>
    <w:rsid w:val="49F74849"/>
    <w:rsid w:val="4A7C2A22"/>
    <w:rsid w:val="4AC17C98"/>
    <w:rsid w:val="4AFE0DE7"/>
    <w:rsid w:val="4B104ABC"/>
    <w:rsid w:val="4B255188"/>
    <w:rsid w:val="4B2E5E75"/>
    <w:rsid w:val="4B383F2F"/>
    <w:rsid w:val="4B3872E6"/>
    <w:rsid w:val="4B7209BB"/>
    <w:rsid w:val="4B7F05B4"/>
    <w:rsid w:val="4C12551A"/>
    <w:rsid w:val="4C140DFC"/>
    <w:rsid w:val="4C261BB5"/>
    <w:rsid w:val="4C3B5420"/>
    <w:rsid w:val="4C3E45A0"/>
    <w:rsid w:val="4C531A49"/>
    <w:rsid w:val="4C5604A8"/>
    <w:rsid w:val="4C6D0539"/>
    <w:rsid w:val="4C987828"/>
    <w:rsid w:val="4CA149AE"/>
    <w:rsid w:val="4CA50C40"/>
    <w:rsid w:val="4CAD40E5"/>
    <w:rsid w:val="4CE82729"/>
    <w:rsid w:val="4D295D0A"/>
    <w:rsid w:val="4D3741CF"/>
    <w:rsid w:val="4DB0348E"/>
    <w:rsid w:val="4DF51404"/>
    <w:rsid w:val="4E4A5A68"/>
    <w:rsid w:val="4E5633F4"/>
    <w:rsid w:val="4E7740D9"/>
    <w:rsid w:val="4E7A51B3"/>
    <w:rsid w:val="4EAC0AFF"/>
    <w:rsid w:val="4EC2021D"/>
    <w:rsid w:val="4F001CA3"/>
    <w:rsid w:val="4F084B37"/>
    <w:rsid w:val="4F42361D"/>
    <w:rsid w:val="4F7E5C30"/>
    <w:rsid w:val="4F9414D9"/>
    <w:rsid w:val="4FA01186"/>
    <w:rsid w:val="4FAC2061"/>
    <w:rsid w:val="4FFA4681"/>
    <w:rsid w:val="50036E2B"/>
    <w:rsid w:val="502C5EC1"/>
    <w:rsid w:val="50510E8E"/>
    <w:rsid w:val="50F30311"/>
    <w:rsid w:val="50F85BC3"/>
    <w:rsid w:val="50FD13B2"/>
    <w:rsid w:val="51282D4D"/>
    <w:rsid w:val="51327881"/>
    <w:rsid w:val="51603879"/>
    <w:rsid w:val="520C32A6"/>
    <w:rsid w:val="521B4163"/>
    <w:rsid w:val="52A93C7A"/>
    <w:rsid w:val="52C9608E"/>
    <w:rsid w:val="52D9178A"/>
    <w:rsid w:val="52DD1DA4"/>
    <w:rsid w:val="52FE30BB"/>
    <w:rsid w:val="5356206E"/>
    <w:rsid w:val="53615A0C"/>
    <w:rsid w:val="536E79E7"/>
    <w:rsid w:val="5375123D"/>
    <w:rsid w:val="5395369D"/>
    <w:rsid w:val="53C10E10"/>
    <w:rsid w:val="53F313A1"/>
    <w:rsid w:val="54207E6C"/>
    <w:rsid w:val="54237D1F"/>
    <w:rsid w:val="54443740"/>
    <w:rsid w:val="54621E17"/>
    <w:rsid w:val="54B40D35"/>
    <w:rsid w:val="54CE2507"/>
    <w:rsid w:val="550546FC"/>
    <w:rsid w:val="55167C5F"/>
    <w:rsid w:val="55181CD2"/>
    <w:rsid w:val="552359D0"/>
    <w:rsid w:val="552D5BBB"/>
    <w:rsid w:val="55474BFE"/>
    <w:rsid w:val="5558377B"/>
    <w:rsid w:val="555A759A"/>
    <w:rsid w:val="555B7D08"/>
    <w:rsid w:val="557837FF"/>
    <w:rsid w:val="55A2576B"/>
    <w:rsid w:val="55BB65AB"/>
    <w:rsid w:val="55D01D97"/>
    <w:rsid w:val="55E9733B"/>
    <w:rsid w:val="56311EFB"/>
    <w:rsid w:val="56472F3B"/>
    <w:rsid w:val="564834DE"/>
    <w:rsid w:val="56745085"/>
    <w:rsid w:val="56A37ED2"/>
    <w:rsid w:val="56AB6AE6"/>
    <w:rsid w:val="56D91FF6"/>
    <w:rsid w:val="56D951D8"/>
    <w:rsid w:val="56F75D11"/>
    <w:rsid w:val="57007E89"/>
    <w:rsid w:val="57244B18"/>
    <w:rsid w:val="57323D7B"/>
    <w:rsid w:val="57425FEA"/>
    <w:rsid w:val="575F2499"/>
    <w:rsid w:val="576903A0"/>
    <w:rsid w:val="57775C20"/>
    <w:rsid w:val="577A519D"/>
    <w:rsid w:val="578828CE"/>
    <w:rsid w:val="579345B0"/>
    <w:rsid w:val="579E1912"/>
    <w:rsid w:val="57BA4B8D"/>
    <w:rsid w:val="57D05930"/>
    <w:rsid w:val="57D06B1D"/>
    <w:rsid w:val="57E553DC"/>
    <w:rsid w:val="57EF6871"/>
    <w:rsid w:val="5806770C"/>
    <w:rsid w:val="58235FFE"/>
    <w:rsid w:val="58240039"/>
    <w:rsid w:val="5828231D"/>
    <w:rsid w:val="582F5FB6"/>
    <w:rsid w:val="58442C3F"/>
    <w:rsid w:val="58446A9A"/>
    <w:rsid w:val="585A70C7"/>
    <w:rsid w:val="58662D5E"/>
    <w:rsid w:val="58AC1B34"/>
    <w:rsid w:val="58DE4F52"/>
    <w:rsid w:val="58E87853"/>
    <w:rsid w:val="58FC53A5"/>
    <w:rsid w:val="59330D03"/>
    <w:rsid w:val="595A121E"/>
    <w:rsid w:val="59876818"/>
    <w:rsid w:val="59950F56"/>
    <w:rsid w:val="599D777F"/>
    <w:rsid w:val="59C75644"/>
    <w:rsid w:val="59D642B4"/>
    <w:rsid w:val="59DE5593"/>
    <w:rsid w:val="5A0D1E1B"/>
    <w:rsid w:val="5A2B11BC"/>
    <w:rsid w:val="5AB21198"/>
    <w:rsid w:val="5AE252AD"/>
    <w:rsid w:val="5AF07FF7"/>
    <w:rsid w:val="5AF422E5"/>
    <w:rsid w:val="5B3F60B2"/>
    <w:rsid w:val="5B512B1F"/>
    <w:rsid w:val="5BA16ADF"/>
    <w:rsid w:val="5BC641FA"/>
    <w:rsid w:val="5BF243F2"/>
    <w:rsid w:val="5BF26431"/>
    <w:rsid w:val="5C006D9C"/>
    <w:rsid w:val="5C01190A"/>
    <w:rsid w:val="5C1C7139"/>
    <w:rsid w:val="5C891D37"/>
    <w:rsid w:val="5C8D0454"/>
    <w:rsid w:val="5CC06AC7"/>
    <w:rsid w:val="5CE4440C"/>
    <w:rsid w:val="5D443734"/>
    <w:rsid w:val="5D573AAA"/>
    <w:rsid w:val="5D6B28AD"/>
    <w:rsid w:val="5DFF23EE"/>
    <w:rsid w:val="5E014018"/>
    <w:rsid w:val="5E6B7E83"/>
    <w:rsid w:val="5E780DEA"/>
    <w:rsid w:val="5E7B7D5D"/>
    <w:rsid w:val="5EBD1B54"/>
    <w:rsid w:val="5EDF0BC7"/>
    <w:rsid w:val="5EE31366"/>
    <w:rsid w:val="5F183785"/>
    <w:rsid w:val="5F601D76"/>
    <w:rsid w:val="5F631FA8"/>
    <w:rsid w:val="5F8F325C"/>
    <w:rsid w:val="5F990D38"/>
    <w:rsid w:val="5FB27E9E"/>
    <w:rsid w:val="5FE75659"/>
    <w:rsid w:val="5FEA15B9"/>
    <w:rsid w:val="5FEE5094"/>
    <w:rsid w:val="60843483"/>
    <w:rsid w:val="60887891"/>
    <w:rsid w:val="609304D5"/>
    <w:rsid w:val="60AA12C0"/>
    <w:rsid w:val="610B0AE6"/>
    <w:rsid w:val="61124341"/>
    <w:rsid w:val="61407A54"/>
    <w:rsid w:val="61531DCE"/>
    <w:rsid w:val="618064C2"/>
    <w:rsid w:val="61943B9E"/>
    <w:rsid w:val="628906E0"/>
    <w:rsid w:val="62AD37FC"/>
    <w:rsid w:val="62E155D8"/>
    <w:rsid w:val="632F6127"/>
    <w:rsid w:val="635F1FDF"/>
    <w:rsid w:val="63B5776C"/>
    <w:rsid w:val="64041E7F"/>
    <w:rsid w:val="645143E6"/>
    <w:rsid w:val="646C1B68"/>
    <w:rsid w:val="646D000B"/>
    <w:rsid w:val="646D1A11"/>
    <w:rsid w:val="64A83DA6"/>
    <w:rsid w:val="64E67C56"/>
    <w:rsid w:val="651F4682"/>
    <w:rsid w:val="652D5E7F"/>
    <w:rsid w:val="65507243"/>
    <w:rsid w:val="656027FF"/>
    <w:rsid w:val="65BB33A3"/>
    <w:rsid w:val="65C753D5"/>
    <w:rsid w:val="65DD7257"/>
    <w:rsid w:val="65E04EF5"/>
    <w:rsid w:val="660D1534"/>
    <w:rsid w:val="661D0043"/>
    <w:rsid w:val="66457E51"/>
    <w:rsid w:val="6680376E"/>
    <w:rsid w:val="66824F18"/>
    <w:rsid w:val="66D83286"/>
    <w:rsid w:val="66DD4FD8"/>
    <w:rsid w:val="66ED31EA"/>
    <w:rsid w:val="67007081"/>
    <w:rsid w:val="6711337A"/>
    <w:rsid w:val="67231C39"/>
    <w:rsid w:val="6725236A"/>
    <w:rsid w:val="67361532"/>
    <w:rsid w:val="67864A7F"/>
    <w:rsid w:val="67961E38"/>
    <w:rsid w:val="67D13F01"/>
    <w:rsid w:val="67E748E0"/>
    <w:rsid w:val="67EA64C5"/>
    <w:rsid w:val="67F75E8E"/>
    <w:rsid w:val="68293C00"/>
    <w:rsid w:val="68E34B21"/>
    <w:rsid w:val="68F13B92"/>
    <w:rsid w:val="68FC6D6B"/>
    <w:rsid w:val="691867A1"/>
    <w:rsid w:val="691A3243"/>
    <w:rsid w:val="69221EE6"/>
    <w:rsid w:val="69641319"/>
    <w:rsid w:val="696C42BB"/>
    <w:rsid w:val="69775DF1"/>
    <w:rsid w:val="697A3A8B"/>
    <w:rsid w:val="698234FF"/>
    <w:rsid w:val="698A6B0F"/>
    <w:rsid w:val="69CC14E2"/>
    <w:rsid w:val="69CD6393"/>
    <w:rsid w:val="69EC4C9C"/>
    <w:rsid w:val="69F1784C"/>
    <w:rsid w:val="6A085BC1"/>
    <w:rsid w:val="6A1F7A9F"/>
    <w:rsid w:val="6A38427B"/>
    <w:rsid w:val="6A39275A"/>
    <w:rsid w:val="6A782EAA"/>
    <w:rsid w:val="6A7D12F1"/>
    <w:rsid w:val="6A8D51AE"/>
    <w:rsid w:val="6AD3150D"/>
    <w:rsid w:val="6B050EBC"/>
    <w:rsid w:val="6B136029"/>
    <w:rsid w:val="6B435052"/>
    <w:rsid w:val="6B5F24B5"/>
    <w:rsid w:val="6B704279"/>
    <w:rsid w:val="6BE82C6E"/>
    <w:rsid w:val="6BEC58FB"/>
    <w:rsid w:val="6BF7258C"/>
    <w:rsid w:val="6C2557CA"/>
    <w:rsid w:val="6C667711"/>
    <w:rsid w:val="6C79584D"/>
    <w:rsid w:val="6C843FEE"/>
    <w:rsid w:val="6CA447AA"/>
    <w:rsid w:val="6CDB746B"/>
    <w:rsid w:val="6CEE29E6"/>
    <w:rsid w:val="6CF50ECF"/>
    <w:rsid w:val="6D020EA1"/>
    <w:rsid w:val="6D126784"/>
    <w:rsid w:val="6D4A3B5E"/>
    <w:rsid w:val="6D710B8B"/>
    <w:rsid w:val="6D777815"/>
    <w:rsid w:val="6DC620EB"/>
    <w:rsid w:val="6DE74779"/>
    <w:rsid w:val="6E0F1211"/>
    <w:rsid w:val="6E3C1E92"/>
    <w:rsid w:val="6E732CEA"/>
    <w:rsid w:val="6E8B5596"/>
    <w:rsid w:val="6ECC2A09"/>
    <w:rsid w:val="6EF00E07"/>
    <w:rsid w:val="6EF22902"/>
    <w:rsid w:val="6F596421"/>
    <w:rsid w:val="6F64748F"/>
    <w:rsid w:val="6F6B7D6A"/>
    <w:rsid w:val="6FB30B76"/>
    <w:rsid w:val="6FBD0858"/>
    <w:rsid w:val="6FF2462A"/>
    <w:rsid w:val="70590C2C"/>
    <w:rsid w:val="708C3687"/>
    <w:rsid w:val="709241E9"/>
    <w:rsid w:val="70F825BD"/>
    <w:rsid w:val="710C7745"/>
    <w:rsid w:val="71615427"/>
    <w:rsid w:val="71D01D86"/>
    <w:rsid w:val="71F87177"/>
    <w:rsid w:val="72276206"/>
    <w:rsid w:val="724C04FD"/>
    <w:rsid w:val="725306B2"/>
    <w:rsid w:val="726E3434"/>
    <w:rsid w:val="72A07365"/>
    <w:rsid w:val="72E1752D"/>
    <w:rsid w:val="73725529"/>
    <w:rsid w:val="738E25DD"/>
    <w:rsid w:val="73A015C2"/>
    <w:rsid w:val="73A913CF"/>
    <w:rsid w:val="73E5576B"/>
    <w:rsid w:val="73EB1497"/>
    <w:rsid w:val="74000A47"/>
    <w:rsid w:val="74484526"/>
    <w:rsid w:val="745B45EA"/>
    <w:rsid w:val="74885606"/>
    <w:rsid w:val="74B218A7"/>
    <w:rsid w:val="74B23AE1"/>
    <w:rsid w:val="74BB6271"/>
    <w:rsid w:val="74C415F0"/>
    <w:rsid w:val="74F15650"/>
    <w:rsid w:val="751115BE"/>
    <w:rsid w:val="751F2214"/>
    <w:rsid w:val="75390185"/>
    <w:rsid w:val="75580F8A"/>
    <w:rsid w:val="75740E00"/>
    <w:rsid w:val="757F162D"/>
    <w:rsid w:val="757F26D8"/>
    <w:rsid w:val="75BE31B8"/>
    <w:rsid w:val="75CC2D4E"/>
    <w:rsid w:val="75F71430"/>
    <w:rsid w:val="75F92840"/>
    <w:rsid w:val="763A080C"/>
    <w:rsid w:val="76641507"/>
    <w:rsid w:val="767E66C9"/>
    <w:rsid w:val="76C16B49"/>
    <w:rsid w:val="76D55BFE"/>
    <w:rsid w:val="76EB5B39"/>
    <w:rsid w:val="76ED2AF4"/>
    <w:rsid w:val="771478EB"/>
    <w:rsid w:val="773E5387"/>
    <w:rsid w:val="775A5AE2"/>
    <w:rsid w:val="776F4F23"/>
    <w:rsid w:val="77755C60"/>
    <w:rsid w:val="77B14E94"/>
    <w:rsid w:val="77E359DC"/>
    <w:rsid w:val="78130518"/>
    <w:rsid w:val="78156E78"/>
    <w:rsid w:val="782D5EAF"/>
    <w:rsid w:val="7897138D"/>
    <w:rsid w:val="789F1175"/>
    <w:rsid w:val="78A515AE"/>
    <w:rsid w:val="790B385D"/>
    <w:rsid w:val="791540A5"/>
    <w:rsid w:val="792B68AC"/>
    <w:rsid w:val="7931734A"/>
    <w:rsid w:val="793C27DB"/>
    <w:rsid w:val="796D2939"/>
    <w:rsid w:val="79AF2036"/>
    <w:rsid w:val="79BD46A6"/>
    <w:rsid w:val="7A4F593C"/>
    <w:rsid w:val="7ADB38D4"/>
    <w:rsid w:val="7B2044F7"/>
    <w:rsid w:val="7B310E5D"/>
    <w:rsid w:val="7B9D644C"/>
    <w:rsid w:val="7BA625AF"/>
    <w:rsid w:val="7BC84C59"/>
    <w:rsid w:val="7BF13877"/>
    <w:rsid w:val="7C01401C"/>
    <w:rsid w:val="7C587C3D"/>
    <w:rsid w:val="7C617FF8"/>
    <w:rsid w:val="7C782645"/>
    <w:rsid w:val="7CB33935"/>
    <w:rsid w:val="7CBB4E7A"/>
    <w:rsid w:val="7CCD3892"/>
    <w:rsid w:val="7CF20ECE"/>
    <w:rsid w:val="7D1A1976"/>
    <w:rsid w:val="7D1B1ED0"/>
    <w:rsid w:val="7D4B3BA0"/>
    <w:rsid w:val="7D727C3E"/>
    <w:rsid w:val="7D7A3E7D"/>
    <w:rsid w:val="7DA9568A"/>
    <w:rsid w:val="7DBE1A3A"/>
    <w:rsid w:val="7DC55F8D"/>
    <w:rsid w:val="7DD2691C"/>
    <w:rsid w:val="7E333FDB"/>
    <w:rsid w:val="7E3563A1"/>
    <w:rsid w:val="7E3842C6"/>
    <w:rsid w:val="7E654AE8"/>
    <w:rsid w:val="7E735DA8"/>
    <w:rsid w:val="7E753CCA"/>
    <w:rsid w:val="7E84265A"/>
    <w:rsid w:val="7E9326F9"/>
    <w:rsid w:val="7E9D42A8"/>
    <w:rsid w:val="7EAB64E4"/>
    <w:rsid w:val="7EE10C39"/>
    <w:rsid w:val="7EE20452"/>
    <w:rsid w:val="7F0E6A25"/>
    <w:rsid w:val="7F395D9C"/>
    <w:rsid w:val="7F420D9C"/>
    <w:rsid w:val="7F6457DC"/>
    <w:rsid w:val="7F79468E"/>
    <w:rsid w:val="7FD4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2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52">
    <w:name w:val="New Paragraph Style"/>
    <w:basedOn w:val="1"/>
    <w:qFormat/>
    <w:uiPriority w:val="0"/>
    <w:pPr>
      <w:widowControl w:val="0"/>
      <w:numPr>
        <w:ilvl w:val="0"/>
        <w:numId w:val="9"/>
      </w:numPr>
      <w:adjustRightInd w:val="0"/>
      <w:spacing w:line="480" w:lineRule="auto"/>
      <w:jc w:val="both"/>
      <w:textAlignment w:val="baseline"/>
    </w:pPr>
    <w:rPr>
      <w:rFonts w:ascii="Courier New" w:hAnsi="Courier New" w:eastAsia="Times New Roman"/>
      <w:bCs/>
      <w:szCs w:val="20"/>
    </w:rPr>
  </w:style>
  <w:style w:type="character" w:customStyle="1" w:styleId="153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052B0C2A-1627-499A-BDC9-127781D196CB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7</Pages>
  <Words>2480</Words>
  <Characters>14138</Characters>
  <Lines>117</Lines>
  <Paragraphs>33</Paragraphs>
  <TotalTime>0</TotalTime>
  <ScaleCrop>false</ScaleCrop>
  <LinksUpToDate>false</LinksUpToDate>
  <CharactersWithSpaces>16585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2019-10-03T09:41:00Z</dcterms:created>
  <dc:creator>ZTE Corporation</dc:creator>
  <cp:lastModifiedBy>ZTE-Xianghui Han</cp:lastModifiedBy>
  <cp:lastPrinted>2018-04-07T03:05:00Z</cp:lastPrinted>
  <dcterms:modified xsi:type="dcterms:W3CDTF">2021-08-06T07:08:35Z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